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zh-CN"/>
        </w:rPr>
      </w:pPr>
      <w:r>
        <w:rPr>
          <w:rFonts w:hint="eastAsia" w:ascii="方正小标宋简体" w:hAnsi="方正小标宋简体" w:eastAsia="方正小标宋简体" w:cs="方正小标宋简体"/>
          <w:b w:val="0"/>
          <w:bCs w:val="0"/>
          <w:color w:val="000000"/>
          <w:sz w:val="44"/>
          <w:szCs w:val="44"/>
          <w:lang w:val="en-US" w:eastAsia="zh-CN"/>
        </w:rPr>
        <w:t>海南省</w:t>
      </w:r>
      <w:r>
        <w:rPr>
          <w:rFonts w:hint="eastAsia" w:ascii="方正小标宋简体" w:hAnsi="方正小标宋简体" w:eastAsia="方正小标宋简体" w:cs="方正小标宋简体"/>
          <w:b w:val="0"/>
          <w:bCs w:val="0"/>
          <w:color w:val="000000"/>
          <w:sz w:val="44"/>
          <w:szCs w:val="44"/>
          <w:lang w:val="zh-CN"/>
        </w:rPr>
        <w:t>网络创业培训教学辅助平台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遴选评分表</w:t>
      </w:r>
    </w:p>
    <w:p>
      <w:pPr>
        <w:bidi w:val="0"/>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91" w:rightChars="-91"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本次</w:t>
      </w:r>
      <w:r>
        <w:rPr>
          <w:rFonts w:hint="eastAsia" w:ascii="仿宋_GB2312" w:hAnsi="仿宋_GB2312" w:eastAsia="仿宋_GB2312" w:cs="仿宋_GB2312"/>
          <w:color w:val="000000"/>
          <w:sz w:val="32"/>
          <w:szCs w:val="32"/>
          <w:lang w:val="en-US" w:eastAsia="zh-CN"/>
        </w:rPr>
        <w:t>遴选</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评审</w:t>
      </w:r>
      <w:r>
        <w:rPr>
          <w:rFonts w:hint="eastAsia" w:ascii="仿宋_GB2312" w:hAnsi="仿宋_GB2312" w:eastAsia="仿宋_GB2312" w:cs="仿宋_GB2312"/>
          <w:color w:val="000000"/>
          <w:sz w:val="32"/>
          <w:szCs w:val="32"/>
        </w:rPr>
        <w:t>方法为</w:t>
      </w:r>
      <w:r>
        <w:rPr>
          <w:rFonts w:hint="eastAsia" w:ascii="仿宋_GB2312" w:hAnsi="仿宋_GB2312" w:eastAsia="仿宋_GB2312" w:cs="仿宋_GB2312"/>
          <w:bCs/>
          <w:color w:val="000000"/>
          <w:sz w:val="32"/>
          <w:szCs w:val="32"/>
        </w:rPr>
        <w:t>综合评分法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满分100分，商务资信及技术指标分值各占总分值权重的50%。具体评分细则如下：</w:t>
      </w:r>
    </w:p>
    <w:tbl>
      <w:tblPr>
        <w:tblStyle w:val="9"/>
        <w:tblW w:w="91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238"/>
        <w:gridCol w:w="803"/>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42" w:type="dxa"/>
            <w:tcBorders>
              <w:tl2br w:val="nil"/>
              <w:tr2bl w:val="nil"/>
            </w:tcBorders>
            <w:shd w:val="pct10" w:color="auto" w:fill="auto"/>
            <w:vAlign w:val="center"/>
          </w:tcPr>
          <w:p>
            <w:pPr>
              <w:ind w:right="40" w:rightChars="19"/>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评分项目</w:t>
            </w:r>
          </w:p>
        </w:tc>
        <w:tc>
          <w:tcPr>
            <w:tcW w:w="6238" w:type="dxa"/>
            <w:tcBorders>
              <w:tl2br w:val="nil"/>
              <w:tr2bl w:val="nil"/>
            </w:tcBorders>
            <w:shd w:val="pct10" w:color="auto" w:fill="auto"/>
            <w:vAlign w:val="center"/>
          </w:tcPr>
          <w:p>
            <w:pPr>
              <w:ind w:right="-191" w:rightChars="-91"/>
              <w:jc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4"/>
                <w:szCs w:val="24"/>
              </w:rPr>
              <w:t>评分</w:t>
            </w:r>
            <w:r>
              <w:rPr>
                <w:rFonts w:hint="eastAsia" w:ascii="仿宋_GB2312" w:hAnsi="仿宋_GB2312" w:eastAsia="仿宋_GB2312" w:cs="仿宋_GB2312"/>
                <w:b/>
                <w:color w:val="000000"/>
                <w:sz w:val="24"/>
                <w:szCs w:val="24"/>
                <w:lang w:val="en-US" w:eastAsia="zh-CN"/>
              </w:rPr>
              <w:t>内容及评分细则</w:t>
            </w:r>
          </w:p>
        </w:tc>
        <w:tc>
          <w:tcPr>
            <w:tcW w:w="803" w:type="dxa"/>
            <w:tcBorders>
              <w:tl2br w:val="nil"/>
              <w:tr2bl w:val="nil"/>
            </w:tcBorders>
            <w:shd w:val="pct10" w:color="auto" w:fill="auto"/>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color w:val="000000"/>
                <w:sz w:val="24"/>
                <w:szCs w:val="24"/>
                <w:lang w:val="en-US" w:eastAsia="zh-CN"/>
              </w:rPr>
            </w:pPr>
            <w:r>
              <w:rPr>
                <w:rFonts w:hint="eastAsia" w:ascii="仿宋_GB2312" w:hAnsi="仿宋_GB2312" w:eastAsia="仿宋_GB2312" w:cs="仿宋_GB2312"/>
                <w:b/>
                <w:bCs/>
                <w:color w:val="000000"/>
                <w:sz w:val="24"/>
                <w:szCs w:val="24"/>
              </w:rPr>
              <w:t>分值</w:t>
            </w:r>
          </w:p>
        </w:tc>
        <w:tc>
          <w:tcPr>
            <w:tcW w:w="826" w:type="dxa"/>
            <w:tcBorders>
              <w:tl2br w:val="nil"/>
              <w:tr2bl w:val="nil"/>
            </w:tcBorders>
            <w:shd w:val="pct10" w:color="auto" w:fill="auto"/>
            <w:tcMar>
              <w:top w:w="0" w:type="dxa"/>
              <w:left w:w="108" w:type="dxa"/>
              <w:bottom w:w="0" w:type="dxa"/>
              <w:right w:w="108" w:type="dxa"/>
            </w:tcMar>
            <w:vAlign w:val="center"/>
          </w:tcPr>
          <w:p>
            <w:pPr>
              <w:ind w:right="40" w:rightChars="19"/>
              <w:jc w:val="cente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bCs/>
                <w:color w:val="000000"/>
                <w:sz w:val="24"/>
                <w:szCs w:val="24"/>
                <w:lang w:val="en-US" w:eastAsia="zh-CN"/>
              </w:rPr>
              <w:t>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42" w:type="dxa"/>
            <w:vMerge w:val="restart"/>
            <w:tcBorders>
              <w:tl2br w:val="nil"/>
              <w:tr2bl w:val="nil"/>
            </w:tcBorders>
            <w:vAlign w:val="center"/>
          </w:tcPr>
          <w:p>
            <w:pPr>
              <w:ind w:right="40" w:rightChars="19"/>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商务资信</w:t>
            </w:r>
          </w:p>
          <w:p>
            <w:pPr>
              <w:ind w:right="40" w:rightChars="1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color w:val="000000"/>
                <w:sz w:val="24"/>
                <w:szCs w:val="24"/>
                <w:lang w:val="en-US" w:eastAsia="zh-CN"/>
              </w:rPr>
              <w:t>（50</w:t>
            </w:r>
            <w:r>
              <w:rPr>
                <w:rFonts w:hint="eastAsia" w:ascii="仿宋_GB2312" w:hAnsi="仿宋_GB2312" w:eastAsia="仿宋_GB2312" w:cs="仿宋_GB2312"/>
                <w:b w:val="0"/>
                <w:bCs w:val="0"/>
                <w:color w:val="000000"/>
                <w:sz w:val="24"/>
                <w:szCs w:val="24"/>
              </w:rPr>
              <w:t>分</w:t>
            </w:r>
            <w:r>
              <w:rPr>
                <w:rFonts w:hint="eastAsia" w:ascii="仿宋_GB2312" w:hAnsi="仿宋_GB2312" w:eastAsia="仿宋_GB2312" w:cs="仿宋_GB2312"/>
                <w:b w:val="0"/>
                <w:bCs w:val="0"/>
                <w:color w:val="000000"/>
                <w:sz w:val="24"/>
                <w:szCs w:val="24"/>
                <w:lang w:val="en-US" w:eastAsia="zh-CN"/>
              </w:rPr>
              <w:t>）</w:t>
            </w:r>
          </w:p>
        </w:tc>
        <w:tc>
          <w:tcPr>
            <w:tcW w:w="6238" w:type="dxa"/>
            <w:tcBorders>
              <w:tl2br w:val="nil"/>
              <w:tr2bl w:val="nil"/>
            </w:tcBorders>
            <w:vAlign w:val="center"/>
          </w:tcPr>
          <w:p>
            <w:pPr>
              <w:ind w:right="42" w:rightChars="20"/>
              <w:jc w:val="both"/>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申报单位申报材料规范性：</w:t>
            </w:r>
          </w:p>
          <w:p>
            <w:pPr>
              <w:ind w:right="42" w:rightChars="2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申报材料</w:t>
            </w:r>
            <w:r>
              <w:rPr>
                <w:rFonts w:hint="eastAsia" w:ascii="仿宋_GB2312" w:hAnsi="仿宋_GB2312" w:eastAsia="仿宋_GB2312" w:cs="仿宋_GB2312"/>
                <w:color w:val="000000"/>
                <w:sz w:val="24"/>
                <w:szCs w:val="24"/>
              </w:rPr>
              <w:t>所有内容按要求编制完整有序，目录页码清晰</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格式规范、装订整齐</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无涂改现象得1分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鼓励双面打印</w:t>
            </w:r>
            <w:r>
              <w:rPr>
                <w:rFonts w:hint="eastAsia" w:ascii="仿宋_GB2312" w:hAnsi="仿宋_GB2312" w:eastAsia="仿宋_GB2312" w:cs="仿宋_GB2312"/>
                <w:color w:val="000000"/>
                <w:sz w:val="24"/>
                <w:szCs w:val="24"/>
              </w:rPr>
              <w:t>。</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1242" w:type="dxa"/>
            <w:vMerge w:val="continue"/>
            <w:tcBorders>
              <w:tl2br w:val="nil"/>
              <w:tr2bl w:val="nil"/>
            </w:tcBorders>
            <w:vAlign w:val="center"/>
          </w:tcPr>
          <w:p>
            <w:pPr>
              <w:ind w:right="-191" w:rightChars="-91"/>
              <w:jc w:val="center"/>
              <w:rPr>
                <w:rFonts w:hint="eastAsia" w:ascii="仿宋_GB2312" w:hAnsi="仿宋_GB2312" w:eastAsia="仿宋_GB2312" w:cs="仿宋_GB2312"/>
                <w:color w:val="000000"/>
                <w:sz w:val="24"/>
                <w:szCs w:val="24"/>
              </w:rPr>
            </w:pPr>
          </w:p>
        </w:tc>
        <w:tc>
          <w:tcPr>
            <w:tcW w:w="6238" w:type="dxa"/>
            <w:tcBorders>
              <w:tl2br w:val="nil"/>
              <w:tr2bl w:val="nil"/>
            </w:tcBorders>
            <w:vAlign w:val="center"/>
          </w:tcPr>
          <w:p>
            <w:pPr>
              <w:ind w:right="42" w:rightChars="20"/>
              <w:jc w:val="both"/>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申报单位履约资质能力证明：</w:t>
            </w:r>
          </w:p>
          <w:p>
            <w:pPr>
              <w:numPr>
                <w:ilvl w:val="0"/>
                <w:numId w:val="0"/>
              </w:numPr>
              <w:ind w:leftChars="0" w:right="42" w:rightChars="2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具有</w:t>
            </w:r>
            <w:r>
              <w:rPr>
                <w:rFonts w:hint="eastAsia" w:ascii="仿宋_GB2312" w:hAnsi="仿宋_GB2312" w:eastAsia="仿宋_GB2312" w:cs="仿宋_GB2312"/>
                <w:sz w:val="24"/>
                <w:szCs w:val="24"/>
                <w:lang w:val="en-US" w:eastAsia="zh-CN"/>
              </w:rPr>
              <w:t>国家高新技术企业资质证书的得2分</w:t>
            </w:r>
            <w:r>
              <w:rPr>
                <w:rFonts w:hint="eastAsia" w:ascii="仿宋_GB2312" w:hAnsi="仿宋_GB2312" w:eastAsia="仿宋_GB2312" w:cs="仿宋_GB2312"/>
                <w:sz w:val="24"/>
                <w:szCs w:val="24"/>
                <w:lang w:eastAsia="zh-CN"/>
              </w:rPr>
              <w:t>。</w:t>
            </w:r>
          </w:p>
          <w:p>
            <w:pPr>
              <w:numPr>
                <w:ilvl w:val="0"/>
                <w:numId w:val="0"/>
              </w:numPr>
              <w:ind w:leftChars="0" w:right="42" w:rightChar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具有ISO 27001信息安全管理体系认证证书的得</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p>
          <w:p>
            <w:pPr>
              <w:numPr>
                <w:ilvl w:val="0"/>
                <w:numId w:val="0"/>
              </w:numPr>
              <w:ind w:leftChars="0" w:right="42" w:rightChars="2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zh-CN"/>
              </w:rPr>
              <w:t>具</w:t>
            </w:r>
            <w:r>
              <w:rPr>
                <w:rFonts w:hint="eastAsia" w:ascii="仿宋_GB2312" w:hAnsi="仿宋_GB2312" w:eastAsia="仿宋_GB2312" w:cs="仿宋_GB2312"/>
                <w:sz w:val="24"/>
                <w:szCs w:val="24"/>
                <w:lang w:val="en-US" w:eastAsia="zh-CN"/>
              </w:rPr>
              <w:t>有</w:t>
            </w:r>
            <w:r>
              <w:rPr>
                <w:rFonts w:hint="eastAsia" w:ascii="仿宋_GB2312" w:hAnsi="仿宋_GB2312" w:eastAsia="仿宋_GB2312" w:cs="仿宋_GB2312"/>
                <w:sz w:val="24"/>
                <w:szCs w:val="24"/>
              </w:rPr>
              <w:t xml:space="preserve">ISO </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001</w:t>
            </w:r>
            <w:r>
              <w:rPr>
                <w:rFonts w:hint="eastAsia" w:ascii="仿宋_GB2312" w:hAnsi="仿宋_GB2312" w:eastAsia="仿宋_GB2312" w:cs="仿宋_GB2312"/>
                <w:sz w:val="24"/>
                <w:szCs w:val="24"/>
                <w:lang w:val="en-US" w:eastAsia="zh-CN"/>
              </w:rPr>
              <w:t>质量</w:t>
            </w:r>
            <w:r>
              <w:rPr>
                <w:rFonts w:hint="eastAsia" w:ascii="仿宋_GB2312" w:hAnsi="仿宋_GB2312" w:eastAsia="仿宋_GB2312" w:cs="仿宋_GB2312"/>
                <w:sz w:val="24"/>
                <w:szCs w:val="24"/>
                <w:lang w:val="zh-CN" w:eastAsia="zh-CN"/>
              </w:rPr>
              <w:t>管理体系认证证书</w:t>
            </w:r>
            <w:r>
              <w:rPr>
                <w:rFonts w:hint="eastAsia" w:ascii="仿宋_GB2312" w:hAnsi="仿宋_GB2312" w:eastAsia="仿宋_GB2312" w:cs="仿宋_GB2312"/>
                <w:sz w:val="24"/>
                <w:szCs w:val="24"/>
                <w:lang w:val="zh-CN"/>
              </w:rPr>
              <w:t>的得</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zh-CN"/>
              </w:rPr>
              <w:t>分。</w:t>
            </w:r>
          </w:p>
          <w:p>
            <w:pPr>
              <w:numPr>
                <w:ilvl w:val="0"/>
                <w:numId w:val="0"/>
              </w:numPr>
              <w:ind w:leftChars="0" w:right="42" w:rightChar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具有AAA级企业信用等级证书的得2分。</w:t>
            </w:r>
          </w:p>
          <w:p>
            <w:pPr>
              <w:numPr>
                <w:ilvl w:val="0"/>
                <w:numId w:val="0"/>
              </w:numPr>
              <w:ind w:leftChars="0" w:right="42" w:rightChar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具有</w:t>
            </w:r>
            <w:r>
              <w:rPr>
                <w:rFonts w:hint="eastAsia" w:ascii="仿宋_GB2312" w:hAnsi="仿宋_GB2312" w:eastAsia="仿宋_GB2312" w:cs="仿宋_GB2312"/>
                <w:sz w:val="24"/>
                <w:szCs w:val="24"/>
              </w:rPr>
              <w:t>CMMI L3级以上</w:t>
            </w:r>
            <w:r>
              <w:rPr>
                <w:rFonts w:hint="eastAsia" w:ascii="仿宋_GB2312" w:hAnsi="仿宋_GB2312" w:eastAsia="仿宋_GB2312" w:cs="仿宋_GB2312"/>
                <w:sz w:val="24"/>
                <w:szCs w:val="24"/>
                <w:lang w:val="en-US" w:eastAsia="zh-CN"/>
              </w:rPr>
              <w:t>证书</w:t>
            </w:r>
            <w:r>
              <w:rPr>
                <w:rFonts w:hint="eastAsia" w:ascii="仿宋_GB2312" w:hAnsi="仿宋_GB2312" w:eastAsia="仿宋_GB2312" w:cs="仿宋_GB2312"/>
                <w:sz w:val="24"/>
                <w:szCs w:val="24"/>
                <w:lang w:val="en-US"/>
              </w:rPr>
              <w:t>的</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p>
          <w:p>
            <w:pPr>
              <w:ind w:right="42" w:rightChar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val="0"/>
                <w:kern w:val="2"/>
                <w:sz w:val="24"/>
                <w:szCs w:val="24"/>
                <w:lang w:val="en-US" w:eastAsia="zh-CN" w:bidi="ar-SA"/>
              </w:rPr>
              <w:t>具有信息系统安全等级保护（三级）备案证明的得2分</w:t>
            </w:r>
            <w:r>
              <w:rPr>
                <w:rFonts w:hint="eastAsia" w:ascii="仿宋_GB2312" w:hAnsi="仿宋_GB2312" w:eastAsia="仿宋_GB2312" w:cs="仿宋_GB2312"/>
                <w:sz w:val="24"/>
                <w:szCs w:val="24"/>
              </w:rPr>
              <w:t>。</w:t>
            </w:r>
          </w:p>
          <w:p>
            <w:pPr>
              <w:ind w:right="42" w:rightChars="2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kern w:val="2"/>
                <w:sz w:val="24"/>
                <w:szCs w:val="24"/>
                <w:lang w:val="en-US" w:eastAsia="zh-CN" w:bidi="ar-SA"/>
              </w:rPr>
              <w:t>7.</w:t>
            </w:r>
            <w:r>
              <w:rPr>
                <w:rFonts w:hint="eastAsia" w:ascii="仿宋_GB2312" w:hAnsi="仿宋_GB2312" w:eastAsia="仿宋_GB2312" w:cs="仿宋_GB2312"/>
                <w:sz w:val="24"/>
                <w:szCs w:val="24"/>
                <w:lang w:val="en-US" w:eastAsia="zh-CN"/>
              </w:rPr>
              <w:t>具有平台软件（包括但不限于创业培训管理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在线教学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模拟训练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培训考核、</w:t>
            </w:r>
            <w:r>
              <w:rPr>
                <w:rFonts w:hint="eastAsia" w:ascii="仿宋_GB2312" w:hAnsi="仿宋_GB2312" w:eastAsia="仿宋_GB2312" w:cs="仿宋_GB2312"/>
                <w:sz w:val="24"/>
                <w:szCs w:val="24"/>
                <w:lang w:eastAsia="zh-CN"/>
              </w:rPr>
              <w:t>创业服务</w:t>
            </w:r>
            <w:r>
              <w:rPr>
                <w:rFonts w:hint="eastAsia" w:ascii="仿宋_GB2312" w:hAnsi="仿宋_GB2312" w:eastAsia="仿宋_GB2312" w:cs="仿宋_GB2312"/>
                <w:sz w:val="24"/>
                <w:szCs w:val="24"/>
                <w:lang w:val="en-US" w:eastAsia="zh-CN"/>
              </w:rPr>
              <w:t>软件）自主知识产权证明（软件著作权证书）的，每提供一项得2分，最高得8分。</w:t>
            </w:r>
          </w:p>
          <w:p>
            <w:pPr>
              <w:ind w:right="42" w:rightChars="20"/>
              <w:jc w:val="both"/>
              <w:rPr>
                <w:rFonts w:hint="eastAsia" w:ascii="仿宋_GB2312" w:hAnsi="仿宋_GB2312" w:eastAsia="仿宋_GB2312" w:cs="仿宋_GB2312"/>
                <w:sz w:val="24"/>
                <w:szCs w:val="24"/>
                <w:lang w:val="en-US" w:eastAsia="zh-CN"/>
              </w:rPr>
            </w:pPr>
            <w:r>
              <w:rPr>
                <w:rFonts w:hint="eastAsia" w:ascii="宋体" w:hAnsi="宋体" w:eastAsia="宋体" w:cs="宋体"/>
                <w:b/>
                <w:bCs/>
                <w:sz w:val="21"/>
                <w:szCs w:val="21"/>
                <w:u w:val="single"/>
                <w:lang w:val="en-US" w:eastAsia="zh-CN"/>
              </w:rPr>
              <w:t>注：以上相关证书需提供复印件加盖申报单位公章。</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20分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2" w:type="dxa"/>
            <w:vMerge w:val="continue"/>
            <w:tcBorders>
              <w:tl2br w:val="nil"/>
              <w:tr2bl w:val="nil"/>
            </w:tcBorders>
            <w:vAlign w:val="center"/>
          </w:tcPr>
          <w:p>
            <w:pPr>
              <w:ind w:right="-191" w:rightChars="-91"/>
              <w:jc w:val="center"/>
              <w:rPr>
                <w:rFonts w:hint="eastAsia" w:ascii="仿宋_GB2312" w:hAnsi="仿宋_GB2312" w:eastAsia="仿宋_GB2312" w:cs="仿宋_GB2312"/>
                <w:color w:val="000000"/>
                <w:sz w:val="24"/>
                <w:szCs w:val="24"/>
              </w:rPr>
            </w:pPr>
          </w:p>
        </w:tc>
        <w:tc>
          <w:tcPr>
            <w:tcW w:w="6238" w:type="dxa"/>
            <w:tcBorders>
              <w:tl2br w:val="nil"/>
              <w:tr2bl w:val="nil"/>
            </w:tcBorders>
            <w:vAlign w:val="center"/>
          </w:tcPr>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000000"/>
                <w:sz w:val="24"/>
                <w:szCs w:val="24"/>
                <w:lang w:val="en-US" w:eastAsia="zh-CN"/>
              </w:rPr>
              <w:t>申报单位技术服务业绩案例：</w:t>
            </w:r>
          </w:p>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color w:val="000000"/>
                <w:sz w:val="24"/>
                <w:szCs w:val="24"/>
                <w:lang w:val="en-US" w:eastAsia="zh-CN"/>
              </w:rPr>
              <w:t>申报单位自</w:t>
            </w:r>
            <w:r>
              <w:rPr>
                <w:rFonts w:hint="eastAsia" w:ascii="仿宋_GB2312" w:hAnsi="仿宋_GB2312" w:eastAsia="仿宋_GB2312" w:cs="仿宋_GB2312"/>
                <w:b w:val="0"/>
                <w:bCs w:val="0"/>
                <w:color w:val="auto"/>
                <w:sz w:val="24"/>
                <w:szCs w:val="24"/>
                <w:lang w:val="en-US" w:eastAsia="zh-CN"/>
              </w:rPr>
              <w:t>2017年全国网络创业培训项目试点推广至今，承担人社部门网络创业培训教学辅助平台或创业培训管理系统技术服务业绩案例（需列表写明人社部门名称、项目名称、项目执行时间等内容），地市级得2分、省级得3分、国家级得5分，最高得15分。</w:t>
            </w:r>
          </w:p>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宋体" w:hAnsi="宋体" w:eastAsia="宋体" w:cs="宋体"/>
                <w:b/>
                <w:bCs/>
                <w:sz w:val="21"/>
                <w:szCs w:val="21"/>
                <w:u w:val="single"/>
                <w:lang w:val="en-US" w:eastAsia="zh-CN"/>
              </w:rPr>
              <w:t>注：</w:t>
            </w:r>
            <w:r>
              <w:rPr>
                <w:rFonts w:hint="eastAsia" w:ascii="宋体" w:hAnsi="宋体" w:eastAsia="宋体" w:cs="宋体"/>
                <w:b/>
                <w:bCs/>
                <w:sz w:val="21"/>
                <w:szCs w:val="21"/>
                <w:u w:val="single"/>
                <w:lang w:val="zh-CN" w:eastAsia="zh-CN"/>
              </w:rPr>
              <w:t>提供</w:t>
            </w:r>
            <w:r>
              <w:rPr>
                <w:rFonts w:hint="eastAsia" w:ascii="宋体" w:hAnsi="宋体" w:eastAsia="宋体" w:cs="宋体"/>
                <w:b/>
                <w:bCs/>
                <w:sz w:val="21"/>
                <w:szCs w:val="21"/>
                <w:u w:val="single"/>
                <w:lang w:val="en-US" w:eastAsia="zh-CN"/>
              </w:rPr>
              <w:t>项目业绩证明</w:t>
            </w:r>
            <w:r>
              <w:rPr>
                <w:rFonts w:hint="eastAsia" w:ascii="宋体" w:hAnsi="宋体" w:eastAsia="宋体" w:cs="宋体"/>
                <w:b/>
                <w:bCs/>
                <w:sz w:val="21"/>
                <w:szCs w:val="21"/>
                <w:u w:val="single"/>
                <w:lang w:val="zh-CN" w:eastAsia="zh-CN"/>
              </w:rPr>
              <w:t>（</w:t>
            </w:r>
            <w:r>
              <w:rPr>
                <w:rFonts w:hint="eastAsia" w:ascii="宋体" w:hAnsi="宋体" w:eastAsia="宋体" w:cs="宋体"/>
                <w:b/>
                <w:bCs/>
                <w:sz w:val="21"/>
                <w:szCs w:val="21"/>
                <w:u w:val="single"/>
                <w:lang w:val="en-US" w:eastAsia="zh-CN"/>
              </w:rPr>
              <w:t>中标成交通知书、项目合同或用户使用报告等佐证材料</w:t>
            </w:r>
            <w:r>
              <w:rPr>
                <w:rFonts w:hint="eastAsia" w:ascii="宋体" w:hAnsi="宋体" w:eastAsia="宋体" w:cs="宋体"/>
                <w:b/>
                <w:bCs/>
                <w:sz w:val="21"/>
                <w:szCs w:val="21"/>
                <w:u w:val="single"/>
                <w:lang w:val="zh-CN" w:eastAsia="zh-CN"/>
              </w:rPr>
              <w:t>等）复印件。</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15分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42" w:type="dxa"/>
            <w:vMerge w:val="continue"/>
            <w:tcBorders>
              <w:tl2br w:val="nil"/>
              <w:tr2bl w:val="nil"/>
            </w:tcBorders>
            <w:vAlign w:val="center"/>
          </w:tcPr>
          <w:p>
            <w:pPr>
              <w:ind w:right="-191" w:rightChars="-91"/>
              <w:jc w:val="center"/>
              <w:rPr>
                <w:rFonts w:hint="eastAsia" w:ascii="仿宋_GB2312" w:hAnsi="仿宋_GB2312" w:eastAsia="仿宋_GB2312" w:cs="仿宋_GB2312"/>
                <w:color w:val="000000"/>
                <w:sz w:val="24"/>
                <w:szCs w:val="24"/>
              </w:rPr>
            </w:pPr>
          </w:p>
        </w:tc>
        <w:tc>
          <w:tcPr>
            <w:tcW w:w="6238" w:type="dxa"/>
            <w:tcBorders>
              <w:tl2br w:val="nil"/>
              <w:tr2bl w:val="nil"/>
            </w:tcBorders>
            <w:vAlign w:val="center"/>
          </w:tcPr>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000000"/>
                <w:sz w:val="24"/>
                <w:szCs w:val="24"/>
                <w:lang w:val="en-US" w:eastAsia="zh-CN"/>
              </w:rPr>
              <w:t>服务团队配置：</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根据服务团队人员数量、资质匹配性、服务经验进行横向比较评分。优良得5分，较好得3-4分，一般得0-2分。</w:t>
            </w:r>
          </w:p>
          <w:p>
            <w:pPr>
              <w:tabs>
                <w:tab w:val="left" w:pos="0"/>
              </w:tabs>
              <w:ind w:left="0" w:leftChars="0" w:right="-57" w:rightChars="-27" w:firstLine="0" w:firstLineChars="0"/>
              <w:jc w:val="left"/>
              <w:rPr>
                <w:rFonts w:hint="eastAsia" w:ascii="仿宋_GB2312" w:hAnsi="仿宋_GB2312" w:eastAsia="仿宋_GB2312" w:cs="仿宋_GB2312"/>
                <w:color w:val="000000"/>
                <w:sz w:val="24"/>
                <w:szCs w:val="24"/>
                <w:lang w:val="en-US" w:eastAsia="zh-CN"/>
              </w:rPr>
            </w:pPr>
            <w:r>
              <w:rPr>
                <w:rFonts w:hint="eastAsia" w:ascii="宋体" w:hAnsi="宋体" w:eastAsia="宋体" w:cs="宋体"/>
                <w:b/>
                <w:bCs/>
                <w:sz w:val="22"/>
                <w:szCs w:val="22"/>
                <w:u w:val="single"/>
                <w:lang w:val="en-US" w:eastAsia="zh-CN"/>
              </w:rPr>
              <w:t>注：需提供团队人员相关资质证明材料以及近3个月的申报单位缴纳社保证明,不提供不得分。</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5分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continue"/>
            <w:tcBorders>
              <w:tl2br w:val="nil"/>
              <w:tr2bl w:val="nil"/>
            </w:tcBorders>
            <w:vAlign w:val="center"/>
          </w:tcPr>
          <w:p>
            <w:pPr>
              <w:ind w:right="-191" w:rightChars="-91"/>
              <w:jc w:val="center"/>
              <w:rPr>
                <w:rFonts w:hint="eastAsia" w:ascii="仿宋_GB2312" w:hAnsi="仿宋_GB2312" w:eastAsia="仿宋_GB2312" w:cs="仿宋_GB2312"/>
                <w:color w:val="000000"/>
                <w:sz w:val="24"/>
                <w:szCs w:val="24"/>
              </w:rPr>
            </w:pPr>
          </w:p>
        </w:tc>
        <w:tc>
          <w:tcPr>
            <w:tcW w:w="6238" w:type="dxa"/>
            <w:tcBorders>
              <w:tl2br w:val="nil"/>
              <w:tr2bl w:val="nil"/>
            </w:tcBorders>
            <w:vAlign w:val="center"/>
          </w:tcPr>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000000"/>
                <w:sz w:val="24"/>
                <w:szCs w:val="24"/>
                <w:lang w:val="en-US" w:eastAsia="zh-CN"/>
              </w:rPr>
              <w:t>整体后续服务方案：</w:t>
            </w:r>
          </w:p>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color w:val="000000"/>
                <w:sz w:val="24"/>
                <w:szCs w:val="24"/>
                <w:lang w:val="en-US" w:eastAsia="zh-CN"/>
              </w:rPr>
              <w:t>根据申报单位为我省</w:t>
            </w:r>
            <w:r>
              <w:rPr>
                <w:rFonts w:hint="eastAsia" w:ascii="仿宋_GB2312" w:hAnsi="仿宋_GB2312" w:eastAsia="仿宋_GB2312" w:cs="仿宋_GB2312"/>
                <w:color w:val="auto"/>
                <w:sz w:val="24"/>
                <w:szCs w:val="24"/>
                <w:lang w:val="en-US" w:eastAsia="zh-CN"/>
              </w:rPr>
              <w:t>网络创业培训开展提供的</w:t>
            </w:r>
            <w:r>
              <w:rPr>
                <w:rFonts w:hint="eastAsia" w:ascii="仿宋_GB2312" w:hAnsi="仿宋_GB2312" w:eastAsia="仿宋_GB2312" w:cs="仿宋_GB2312"/>
                <w:color w:val="auto"/>
                <w:sz w:val="24"/>
                <w:szCs w:val="24"/>
              </w:rPr>
              <w:t>师资</w:t>
            </w:r>
            <w:r>
              <w:rPr>
                <w:rFonts w:hint="eastAsia" w:ascii="仿宋_GB2312" w:hAnsi="仿宋_GB2312" w:eastAsia="仿宋_GB2312" w:cs="仿宋_GB2312"/>
                <w:color w:val="auto"/>
                <w:sz w:val="24"/>
                <w:szCs w:val="24"/>
                <w:lang w:val="en-US" w:eastAsia="zh-CN"/>
              </w:rPr>
              <w:t>服务</w:t>
            </w:r>
            <w:r>
              <w:rPr>
                <w:rFonts w:hint="eastAsia" w:ascii="仿宋_GB2312" w:hAnsi="仿宋_GB2312" w:eastAsia="仿宋_GB2312" w:cs="仿宋_GB2312"/>
                <w:color w:val="auto"/>
                <w:sz w:val="24"/>
                <w:szCs w:val="24"/>
              </w:rPr>
              <w:t>、学员服务</w:t>
            </w:r>
            <w:r>
              <w:rPr>
                <w:rFonts w:hint="eastAsia" w:ascii="仿宋_GB2312" w:hAnsi="仿宋_GB2312" w:eastAsia="仿宋_GB2312" w:cs="仿宋_GB2312"/>
                <w:color w:val="auto"/>
                <w:sz w:val="24"/>
                <w:szCs w:val="24"/>
                <w:lang w:val="en-US" w:eastAsia="zh-CN"/>
              </w:rPr>
              <w:t>的服务</w:t>
            </w:r>
            <w:r>
              <w:rPr>
                <w:rFonts w:hint="eastAsia" w:ascii="仿宋_GB2312" w:hAnsi="仿宋_GB2312" w:eastAsia="仿宋_GB2312" w:cs="仿宋_GB2312"/>
                <w:color w:val="auto"/>
                <w:sz w:val="24"/>
                <w:szCs w:val="24"/>
              </w:rPr>
              <w:t>计划</w:t>
            </w:r>
            <w:r>
              <w:rPr>
                <w:rFonts w:hint="eastAsia" w:ascii="仿宋_GB2312" w:hAnsi="仿宋_GB2312" w:eastAsia="仿宋_GB2312" w:cs="仿宋_GB2312"/>
                <w:color w:val="auto"/>
                <w:sz w:val="24"/>
                <w:szCs w:val="24"/>
                <w:lang w:val="en-US" w:eastAsia="zh-CN"/>
              </w:rPr>
              <w:t>、实施方案及近三年为其他省市提供的服务情况，</w:t>
            </w:r>
            <w:r>
              <w:rPr>
                <w:rFonts w:hint="eastAsia" w:ascii="仿宋_GB2312" w:hAnsi="仿宋_GB2312" w:eastAsia="仿宋_GB2312" w:cs="仿宋_GB2312"/>
                <w:color w:val="000000"/>
                <w:sz w:val="24"/>
                <w:szCs w:val="24"/>
                <w:lang w:val="en-US" w:eastAsia="zh-CN"/>
              </w:rPr>
              <w:t>进行横向比较打分</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000000"/>
                <w:sz w:val="24"/>
                <w:szCs w:val="24"/>
                <w:lang w:val="en-US" w:eastAsia="zh-CN"/>
              </w:rPr>
              <w:t>优良</w:t>
            </w:r>
            <w:r>
              <w:rPr>
                <w:rFonts w:hint="eastAsia" w:ascii="仿宋_GB2312" w:hAnsi="仿宋_GB2312" w:eastAsia="仿宋_GB2312" w:cs="仿宋_GB2312"/>
                <w:b w:val="0"/>
                <w:bCs w:val="0"/>
                <w:color w:val="auto"/>
                <w:sz w:val="24"/>
                <w:szCs w:val="24"/>
                <w:lang w:val="en-US" w:eastAsia="zh-CN"/>
              </w:rPr>
              <w:t>得</w:t>
            </w:r>
            <w:r>
              <w:rPr>
                <w:rFonts w:hint="eastAsia" w:ascii="仿宋_GB2312" w:hAnsi="仿宋_GB2312" w:eastAsia="仿宋_GB2312" w:cs="仿宋_GB2312"/>
                <w:color w:val="000000"/>
                <w:sz w:val="24"/>
                <w:szCs w:val="24"/>
                <w:lang w:eastAsia="zh-CN"/>
              </w:rPr>
              <w:t>7</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eastAsia="zh-CN"/>
              </w:rPr>
              <w:t>9</w:t>
            </w:r>
            <w:r>
              <w:rPr>
                <w:rFonts w:hint="eastAsia" w:ascii="仿宋_GB2312" w:hAnsi="仿宋_GB2312" w:eastAsia="仿宋_GB2312" w:cs="仿宋_GB2312"/>
                <w:color w:val="000000"/>
                <w:sz w:val="24"/>
                <w:szCs w:val="24"/>
                <w:lang w:val="en-US" w:eastAsia="zh-CN"/>
              </w:rPr>
              <w:t>分，较好</w:t>
            </w:r>
            <w:r>
              <w:rPr>
                <w:rFonts w:hint="eastAsia" w:ascii="仿宋_GB2312" w:hAnsi="仿宋_GB2312" w:eastAsia="仿宋_GB2312" w:cs="仿宋_GB2312"/>
                <w:b w:val="0"/>
                <w:bCs w:val="0"/>
                <w:color w:val="auto"/>
                <w:sz w:val="24"/>
                <w:szCs w:val="24"/>
                <w:lang w:val="en-US" w:eastAsia="zh-CN"/>
              </w:rPr>
              <w:t>得</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6</w:t>
            </w:r>
            <w:r>
              <w:rPr>
                <w:rFonts w:hint="eastAsia" w:ascii="仿宋_GB2312" w:hAnsi="仿宋_GB2312" w:eastAsia="仿宋_GB2312" w:cs="仿宋_GB2312"/>
                <w:color w:val="000000"/>
                <w:sz w:val="24"/>
                <w:szCs w:val="24"/>
                <w:lang w:val="en-US" w:eastAsia="zh-CN"/>
              </w:rPr>
              <w:t>分，一般</w:t>
            </w:r>
            <w:r>
              <w:rPr>
                <w:rFonts w:hint="eastAsia" w:ascii="仿宋_GB2312" w:hAnsi="仿宋_GB2312" w:eastAsia="仿宋_GB2312" w:cs="仿宋_GB2312"/>
                <w:b w:val="0"/>
                <w:bCs w:val="0"/>
                <w:color w:val="auto"/>
                <w:sz w:val="24"/>
                <w:szCs w:val="24"/>
                <w:lang w:val="en-US" w:eastAsia="zh-CN"/>
              </w:rPr>
              <w:t>得</w:t>
            </w:r>
            <w:r>
              <w:rPr>
                <w:rFonts w:hint="eastAsia" w:ascii="仿宋_GB2312" w:hAnsi="仿宋_GB2312" w:eastAsia="仿宋_GB2312" w:cs="仿宋_GB2312"/>
                <w:color w:val="000000"/>
                <w:sz w:val="24"/>
                <w:szCs w:val="24"/>
                <w:lang w:val="en-US" w:eastAsia="zh-CN"/>
              </w:rPr>
              <w:t>0-3分。</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9分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242" w:type="dxa"/>
            <w:vMerge w:val="restart"/>
            <w:tcBorders>
              <w:tl2br w:val="nil"/>
              <w:tr2bl w:val="nil"/>
            </w:tcBorders>
            <w:vAlign w:val="center"/>
          </w:tcPr>
          <w:p>
            <w:pPr>
              <w:ind w:right="40" w:rightChars="19"/>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技术</w:t>
            </w:r>
            <w:r>
              <w:rPr>
                <w:rFonts w:hint="eastAsia" w:ascii="仿宋_GB2312" w:hAnsi="仿宋_GB2312" w:eastAsia="仿宋_GB2312" w:cs="仿宋_GB2312"/>
                <w:b/>
                <w:bCs/>
                <w:color w:val="000000"/>
                <w:sz w:val="24"/>
                <w:szCs w:val="24"/>
                <w:lang w:val="en-US" w:eastAsia="zh-CN"/>
              </w:rPr>
              <w:t>指标</w:t>
            </w:r>
          </w:p>
          <w:p>
            <w:pPr>
              <w:ind w:right="40" w:rightChars="19"/>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val="0"/>
                <w:bCs w:val="0"/>
                <w:color w:val="000000"/>
                <w:sz w:val="24"/>
                <w:szCs w:val="24"/>
                <w:lang w:val="en-US" w:eastAsia="zh-CN"/>
              </w:rPr>
              <w:t>（50</w:t>
            </w:r>
            <w:r>
              <w:rPr>
                <w:rFonts w:hint="eastAsia" w:ascii="仿宋_GB2312" w:hAnsi="仿宋_GB2312" w:eastAsia="仿宋_GB2312" w:cs="仿宋_GB2312"/>
                <w:b w:val="0"/>
                <w:bCs w:val="0"/>
                <w:color w:val="000000"/>
                <w:sz w:val="24"/>
                <w:szCs w:val="24"/>
              </w:rPr>
              <w:t>分</w:t>
            </w:r>
            <w:r>
              <w:rPr>
                <w:rFonts w:hint="eastAsia" w:ascii="仿宋_GB2312" w:hAnsi="仿宋_GB2312" w:eastAsia="仿宋_GB2312" w:cs="仿宋_GB2312"/>
                <w:b w:val="0"/>
                <w:bCs w:val="0"/>
                <w:color w:val="000000"/>
                <w:sz w:val="24"/>
                <w:szCs w:val="24"/>
                <w:lang w:val="en-US" w:eastAsia="zh-CN"/>
              </w:rPr>
              <w:t>）</w:t>
            </w:r>
          </w:p>
        </w:tc>
        <w:tc>
          <w:tcPr>
            <w:tcW w:w="6238" w:type="dxa"/>
            <w:tcBorders>
              <w:tl2br w:val="nil"/>
              <w:tr2bl w:val="nil"/>
            </w:tcBorders>
            <w:vAlign w:val="center"/>
          </w:tcPr>
          <w:p>
            <w:pPr>
              <w:tabs>
                <w:tab w:val="left" w:pos="0"/>
              </w:tabs>
              <w:ind w:left="0" w:leftChars="0" w:right="-57" w:rightChars="-27" w:firstLine="0" w:firstLineChars="0"/>
              <w:jc w:val="left"/>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000000"/>
                <w:sz w:val="24"/>
                <w:szCs w:val="24"/>
                <w:lang w:val="en-US" w:eastAsia="zh-CN"/>
              </w:rPr>
              <w:t>整体技术服务方案：</w:t>
            </w:r>
          </w:p>
          <w:p>
            <w:pPr>
              <w:tabs>
                <w:tab w:val="left" w:pos="0"/>
              </w:tabs>
              <w:ind w:left="0" w:leftChars="0" w:right="-57" w:rightChars="-27" w:firstLine="0" w:firstLineChars="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1.技术方案整体设计：方案设计科学合理，可行性强，得10分；相对科学合理，得6-9分；科学合理性一般的，得1-5分；合理性及可行性较差的，不得分。</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000000"/>
                <w:sz w:val="24"/>
                <w:szCs w:val="24"/>
                <w:lang w:val="en-US" w:eastAsia="zh-CN"/>
              </w:rPr>
              <w:t>2.技术方案响应性：能够完全满足或优于服务需求中的相关技术要点要求的，得10分；能够基本响应服务需求技术要点要求的，得6-9分，响应性一般的，得1-5分，响应性较差的，不得分。</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lang w:val="en-US" w:eastAsia="zh-CN"/>
              </w:rPr>
              <w:t>20分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242" w:type="dxa"/>
            <w:vMerge w:val="continue"/>
            <w:tcBorders>
              <w:tl2br w:val="nil"/>
              <w:tr2bl w:val="nil"/>
            </w:tcBorders>
            <w:vAlign w:val="center"/>
          </w:tcPr>
          <w:p>
            <w:pPr>
              <w:ind w:right="-191" w:rightChars="-91"/>
              <w:jc w:val="center"/>
              <w:rPr>
                <w:rFonts w:hint="eastAsia" w:ascii="仿宋_GB2312" w:hAnsi="仿宋_GB2312" w:eastAsia="仿宋_GB2312" w:cs="仿宋_GB2312"/>
                <w:color w:val="000000"/>
                <w:sz w:val="24"/>
                <w:szCs w:val="24"/>
                <w:lang w:val="en-US" w:eastAsia="zh-CN"/>
              </w:rPr>
            </w:pPr>
          </w:p>
        </w:tc>
        <w:tc>
          <w:tcPr>
            <w:tcW w:w="6238" w:type="dxa"/>
            <w:tcBorders>
              <w:tl2br w:val="nil"/>
              <w:tr2bl w:val="nil"/>
            </w:tcBorders>
            <w:vAlign w:val="center"/>
          </w:tcPr>
          <w:p>
            <w:pPr>
              <w:tabs>
                <w:tab w:val="left" w:pos="0"/>
              </w:tabs>
              <w:ind w:left="0" w:leftChars="0" w:right="-57" w:rightChars="-27" w:firstLine="0" w:firstLineChars="0"/>
              <w:jc w:val="left"/>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申报单位平台系统开放共享性技术证明：</w:t>
            </w:r>
          </w:p>
          <w:p>
            <w:pP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1.申报单位教学辅助平台能与中国就业培训指导中心“创业培训技术服务管理平台系统”实现无缝对接、互联互通、数据共享，提供有效证明材料的得2分，未提供的不得分。</w:t>
            </w:r>
          </w:p>
          <w:p>
            <w:pP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2.申报单位教学辅助平台能与省级实名制培训管理系统或补贴性职业培训管理平台实现无缝对接、互联互通、数据共享，每提供一份有效证明材料的得2分，最多得4分。</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6分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default" w:ascii="仿宋_GB2312" w:hAnsi="仿宋_GB2312" w:eastAsia="仿宋_GB2312" w:cs="仿宋_GB2312"/>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2" w:type="dxa"/>
            <w:vMerge w:val="continue"/>
            <w:tcBorders>
              <w:tl2br w:val="nil"/>
              <w:tr2bl w:val="nil"/>
            </w:tcBorders>
            <w:vAlign w:val="center"/>
          </w:tcPr>
          <w:p>
            <w:pPr>
              <w:ind w:right="-191" w:rightChars="-91"/>
              <w:jc w:val="center"/>
              <w:rPr>
                <w:rFonts w:hint="eastAsia" w:ascii="仿宋_GB2312" w:hAnsi="仿宋_GB2312" w:eastAsia="仿宋_GB2312" w:cs="仿宋_GB2312"/>
                <w:color w:val="000000"/>
                <w:sz w:val="24"/>
                <w:szCs w:val="24"/>
              </w:rPr>
            </w:pPr>
          </w:p>
        </w:tc>
        <w:tc>
          <w:tcPr>
            <w:tcW w:w="6238" w:type="dxa"/>
            <w:tcBorders>
              <w:tl2br w:val="nil"/>
              <w:tr2bl w:val="nil"/>
            </w:tcBorders>
            <w:vAlign w:val="center"/>
          </w:tcPr>
          <w:p>
            <w:pPr>
              <w:tabs>
                <w:tab w:val="left" w:pos="0"/>
              </w:tabs>
              <w:ind w:left="0" w:leftChars="0" w:right="-57" w:rightChars="-27" w:firstLine="0" w:firstLineChars="0"/>
              <w:jc w:val="left"/>
              <w:rPr>
                <w:rFonts w:hint="eastAsia" w:ascii="仿宋_GB2312" w:hAnsi="仿宋_GB2312" w:eastAsia="仿宋_GB2312" w:cs="仿宋_GB2312"/>
                <w:b/>
                <w:bCs/>
                <w:color w:val="000000"/>
                <w:sz w:val="24"/>
                <w:szCs w:val="24"/>
                <w:lang w:val="zh-CN" w:eastAsia="zh-CN"/>
              </w:rPr>
            </w:pPr>
            <w:r>
              <w:rPr>
                <w:rFonts w:hint="eastAsia" w:ascii="仿宋_GB2312" w:hAnsi="仿宋_GB2312" w:eastAsia="仿宋_GB2312" w:cs="仿宋_GB2312"/>
                <w:b/>
                <w:bCs/>
                <w:color w:val="000000"/>
                <w:sz w:val="24"/>
                <w:szCs w:val="24"/>
                <w:lang w:val="en-US" w:eastAsia="zh-CN"/>
              </w:rPr>
              <w:t>根据申报单位平台演示情况进行打分，</w:t>
            </w:r>
            <w:r>
              <w:rPr>
                <w:rFonts w:hint="eastAsia" w:ascii="仿宋_GB2312" w:hAnsi="仿宋_GB2312" w:eastAsia="仿宋_GB2312" w:cs="仿宋_GB2312"/>
                <w:b/>
                <w:bCs/>
                <w:color w:val="000000"/>
                <w:sz w:val="24"/>
                <w:szCs w:val="24"/>
                <w:lang w:val="zh-CN" w:eastAsia="zh-CN"/>
              </w:rPr>
              <w:t>具体如下：</w:t>
            </w:r>
          </w:p>
          <w:p>
            <w:pPr>
              <w:tabs>
                <w:tab w:val="left" w:pos="0"/>
              </w:tabs>
              <w:ind w:left="0" w:leftChars="0" w:right="-57" w:rightChars="-27" w:firstLine="0" w:firstLineChars="0"/>
              <w:jc w:val="left"/>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1.教学服务平台</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（1）点播教学功能：支持线上点播教学，提供网络创业培训线上点播课程发布及电脑端、移动端在线学习功能，支持学习过程记录、人脸识别实名身份核验。</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（2）直播教学功能：支持线上直播教学，实现教学过程师生之间连麦实时互动功能，并支持直播回放观看，系统自动实现直播及回放观看过程有效学习记录、人脸识别实名身份核验。</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2.模拟训练平台</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000000"/>
                <w:sz w:val="24"/>
                <w:szCs w:val="24"/>
                <w:lang w:val="en-US" w:eastAsia="zh-CN"/>
              </w:rPr>
              <w:t>1）支持模拟商城</w:t>
            </w:r>
            <w:r>
              <w:rPr>
                <w:rFonts w:hint="eastAsia" w:ascii="仿宋_GB2312" w:hAnsi="仿宋_GB2312" w:eastAsia="仿宋_GB2312" w:cs="仿宋_GB2312"/>
                <w:color w:val="auto"/>
                <w:sz w:val="24"/>
                <w:szCs w:val="24"/>
                <w:lang w:val="en-US" w:eastAsia="zh-CN"/>
              </w:rPr>
              <w:t>店铺管理、商品管理、交易管理、营销中心等功能。</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000000"/>
                <w:sz w:val="24"/>
                <w:szCs w:val="24"/>
                <w:lang w:val="en-US" w:eastAsia="zh-CN"/>
              </w:rPr>
              <w:t>2）支持供销系统</w:t>
            </w:r>
            <w:r>
              <w:rPr>
                <w:rFonts w:hint="eastAsia" w:ascii="仿宋_GB2312" w:hAnsi="仿宋_GB2312" w:eastAsia="仿宋_GB2312" w:cs="仿宋_GB2312"/>
                <w:color w:val="auto"/>
                <w:sz w:val="24"/>
                <w:szCs w:val="24"/>
                <w:lang w:val="en-US" w:eastAsia="zh-CN"/>
              </w:rPr>
              <w:t>与模拟商城数据打通，衔接供销两端，实现商品、订单、货源、现金的高效流转和管理，满足一件上架、订单同步等快捷管理需求。</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000000"/>
                <w:sz w:val="24"/>
                <w:szCs w:val="24"/>
                <w:lang w:val="en-US" w:eastAsia="zh-CN"/>
              </w:rPr>
              <w:t>3）支持模拟商城</w:t>
            </w:r>
            <w:r>
              <w:rPr>
                <w:rFonts w:hint="eastAsia" w:ascii="仿宋_GB2312" w:hAnsi="仿宋_GB2312" w:eastAsia="仿宋_GB2312" w:cs="仿宋_GB2312"/>
                <w:color w:val="auto"/>
                <w:sz w:val="24"/>
                <w:szCs w:val="24"/>
                <w:lang w:val="en-US" w:eastAsia="zh-CN"/>
              </w:rPr>
              <w:t>店铺商品在移动端直播间中上架销售的直播训练功能，并记录直播相关数据。</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3.培训考核平台</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（1）支持学员在电脑端或移动端在线理论考试、人脸识别实名核验及自动阅卷等功能，考试题型支持判断题、单选题、多选题。</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支持学员在电脑端或移动端提交创业实践成果，考评专家在线评审打分，支持学员在线填写、上传附件等方式提交创业计划书，考评专家在线评审打分，支持培训机构对创业计划书进行打印，作为培训补贴申报的材料。</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4.培训管理平台</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（1）数据分析功能：</w:t>
            </w:r>
            <w:r>
              <w:rPr>
                <w:rFonts w:hint="eastAsia" w:ascii="仿宋_GB2312" w:hAnsi="仿宋_GB2312" w:eastAsia="仿宋_GB2312" w:cs="仿宋_GB2312"/>
                <w:color w:val="auto"/>
                <w:kern w:val="2"/>
                <w:sz w:val="24"/>
                <w:szCs w:val="24"/>
                <w:lang w:val="en-US" w:eastAsia="zh-CN"/>
              </w:rPr>
              <w:t>全面汇总记录教学服务、模拟训练、培训考核、后续服务的各项数据，并可</w:t>
            </w:r>
            <w:r>
              <w:rPr>
                <w:rFonts w:hint="eastAsia" w:ascii="仿宋_GB2312" w:hAnsi="仿宋_GB2312" w:eastAsia="仿宋_GB2312" w:cs="仿宋_GB2312"/>
                <w:color w:val="auto"/>
                <w:sz w:val="24"/>
                <w:szCs w:val="24"/>
                <w:lang w:val="en-US" w:eastAsia="zh-CN"/>
              </w:rPr>
              <w:t>按创业培训项目、地区、时段等维度全方位、多层次统计并展示包括培训机构、班级、学员、讲师等相关数据。</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（2）系统设置功能：省级主管部门可进行创业培训多类项目、多类课程、监管级别设置等配置。</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（3）各角色功能：为主管部门、培训机构、培训讲师等角色提供课程管理、机构管理、师资管理、班级管理、学员管理、线上线下教学管理等核心功能，实现培训过程可追溯、培训质量可监控。</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5.后续服务平台</w:t>
            </w:r>
          </w:p>
          <w:p>
            <w:pPr>
              <w:tabs>
                <w:tab w:val="left" w:pos="0"/>
              </w:tabs>
              <w:ind w:left="0" w:leftChars="0" w:right="-57" w:rightChars="-27" w:firstLine="0" w:firstLine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sz w:val="24"/>
                <w:szCs w:val="24"/>
                <w:lang w:val="en-US" w:eastAsia="zh-CN"/>
              </w:rPr>
              <w:t>1）提供创业培训后续服务平台电脑端、移动端及具备直播和远程互动的智能互动终端系统，实现线上线下融合的双创政策宣传与数据跟踪、双创活动、双创精品课程、创业导师咨询问诊、创业场地、投融资等后续服务开展，系统自动记录创业培训</w:t>
            </w:r>
            <w:bookmarkStart w:id="0" w:name="_GoBack"/>
            <w:bookmarkEnd w:id="0"/>
            <w:r>
              <w:rPr>
                <w:rFonts w:hint="eastAsia" w:ascii="仿宋_GB2312" w:hAnsi="仿宋_GB2312" w:eastAsia="仿宋_GB2312" w:cs="仿宋_GB2312"/>
                <w:sz w:val="24"/>
                <w:szCs w:val="24"/>
                <w:lang w:val="en-US" w:eastAsia="zh-CN"/>
              </w:rPr>
              <w:t>后续服务开展及参与各项情况，为创业培训后续服务开展提供数据支撑。</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tabs>
                <w:tab w:val="left" w:pos="0"/>
              </w:tabs>
              <w:ind w:left="0" w:leftChars="0" w:right="-57" w:rightChars="-27" w:firstLine="0" w:firstLine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sz w:val="24"/>
                <w:szCs w:val="24"/>
                <w:lang w:val="en-US" w:eastAsia="zh-CN"/>
              </w:rPr>
              <w:t>2）后续服务平台具备创业培训学员创就业数据跟踪统计功能，数据来源需支持系统智能获取和手工录入等方式。</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u w:val="single"/>
                <w:lang w:val="zh-CN"/>
              </w:rPr>
              <w:t>（完全满足得</w:t>
            </w:r>
            <w:r>
              <w:rPr>
                <w:rFonts w:hint="eastAsia" w:ascii="仿宋_GB2312" w:hAnsi="仿宋_GB2312" w:eastAsia="仿宋_GB2312" w:cs="仿宋_GB2312"/>
                <w:sz w:val="24"/>
                <w:szCs w:val="24"/>
                <w:u w:val="single"/>
                <w:lang w:val="en-US" w:eastAsia="zh-CN"/>
              </w:rPr>
              <w:t>2</w:t>
            </w:r>
            <w:r>
              <w:rPr>
                <w:rFonts w:hint="eastAsia" w:ascii="仿宋_GB2312" w:hAnsi="仿宋_GB2312" w:eastAsia="仿宋_GB2312" w:cs="仿宋_GB2312"/>
                <w:sz w:val="24"/>
                <w:szCs w:val="24"/>
                <w:u w:val="single"/>
                <w:lang w:val="zh-CN"/>
              </w:rPr>
              <w:t>分，不满足的不得分）</w:t>
            </w:r>
          </w:p>
          <w:p>
            <w:pPr>
              <w:ind w:right="42" w:rightChars="20"/>
              <w:jc w:val="both"/>
              <w:rPr>
                <w:rFonts w:hint="eastAsia" w:ascii="宋体" w:hAnsi="宋体" w:eastAsia="宋体" w:cs="宋体"/>
                <w:b/>
                <w:bCs/>
                <w:sz w:val="21"/>
                <w:szCs w:val="21"/>
                <w:u w:val="single"/>
                <w:lang w:val="zh-CN" w:eastAsia="zh-CN"/>
              </w:rPr>
            </w:pPr>
            <w:r>
              <w:rPr>
                <w:rFonts w:hint="eastAsia" w:ascii="宋体" w:hAnsi="宋体" w:eastAsia="宋体" w:cs="宋体"/>
                <w:b/>
                <w:bCs/>
                <w:sz w:val="21"/>
                <w:szCs w:val="21"/>
                <w:u w:val="single"/>
                <w:lang w:val="en-US" w:eastAsia="zh-CN"/>
              </w:rPr>
              <w:t>备注</w:t>
            </w:r>
            <w:r>
              <w:rPr>
                <w:rFonts w:hint="eastAsia" w:ascii="宋体" w:hAnsi="宋体" w:eastAsia="宋体" w:cs="宋体"/>
                <w:b/>
                <w:bCs/>
                <w:sz w:val="21"/>
                <w:szCs w:val="21"/>
                <w:u w:val="single"/>
                <w:lang w:val="zh-CN" w:eastAsia="zh-CN"/>
              </w:rPr>
              <w:t>：</w:t>
            </w:r>
          </w:p>
          <w:p>
            <w:pPr>
              <w:ind w:right="42" w:rightChars="20"/>
              <w:jc w:val="both"/>
              <w:rPr>
                <w:rFonts w:hint="eastAsia" w:ascii="宋体" w:hAnsi="宋体" w:eastAsia="宋体" w:cs="宋体"/>
                <w:b/>
                <w:bCs/>
                <w:sz w:val="21"/>
                <w:szCs w:val="21"/>
                <w:u w:val="single"/>
                <w:lang w:val="zh-CN" w:eastAsia="zh-CN"/>
              </w:rPr>
            </w:pPr>
            <w:r>
              <w:rPr>
                <w:rFonts w:hint="eastAsia" w:ascii="宋体" w:hAnsi="宋体" w:eastAsia="宋体" w:cs="宋体"/>
                <w:b/>
                <w:bCs/>
                <w:sz w:val="21"/>
                <w:szCs w:val="21"/>
                <w:u w:val="single"/>
                <w:lang w:val="zh-CN" w:eastAsia="zh-CN"/>
              </w:rPr>
              <w:t>（1）</w:t>
            </w:r>
            <w:r>
              <w:rPr>
                <w:rFonts w:hint="eastAsia" w:ascii="宋体" w:hAnsi="宋体" w:eastAsia="宋体" w:cs="宋体"/>
                <w:b/>
                <w:bCs/>
                <w:sz w:val="21"/>
                <w:szCs w:val="21"/>
                <w:u w:val="single"/>
                <w:lang w:val="en-US" w:eastAsia="zh-CN"/>
              </w:rPr>
              <w:t>按遴选现场抽取的</w:t>
            </w:r>
            <w:r>
              <w:rPr>
                <w:rFonts w:hint="eastAsia" w:ascii="宋体" w:hAnsi="宋体" w:cs="宋体"/>
                <w:b/>
                <w:bCs/>
                <w:sz w:val="21"/>
                <w:szCs w:val="21"/>
                <w:u w:val="single"/>
                <w:lang w:val="en-US" w:eastAsia="zh-CN"/>
              </w:rPr>
              <w:t>先后</w:t>
            </w:r>
            <w:r>
              <w:rPr>
                <w:rFonts w:hint="eastAsia" w:ascii="宋体" w:hAnsi="宋体" w:eastAsia="宋体" w:cs="宋体"/>
                <w:b/>
                <w:bCs/>
                <w:sz w:val="21"/>
                <w:szCs w:val="21"/>
                <w:u w:val="single"/>
                <w:lang w:val="en-US" w:eastAsia="zh-CN"/>
              </w:rPr>
              <w:t>顺序进行演示</w:t>
            </w:r>
            <w:r>
              <w:rPr>
                <w:rFonts w:hint="eastAsia" w:ascii="宋体" w:hAnsi="宋体" w:eastAsia="宋体" w:cs="宋体"/>
                <w:b/>
                <w:bCs/>
                <w:sz w:val="21"/>
                <w:szCs w:val="21"/>
                <w:u w:val="single"/>
                <w:lang w:val="zh-CN" w:eastAsia="zh-CN"/>
              </w:rPr>
              <w:t>；</w:t>
            </w:r>
          </w:p>
          <w:p>
            <w:pPr>
              <w:ind w:right="42" w:rightChars="20"/>
              <w:jc w:val="both"/>
              <w:rPr>
                <w:rFonts w:hint="eastAsia" w:ascii="宋体" w:hAnsi="宋体" w:eastAsia="宋体" w:cs="宋体"/>
                <w:b/>
                <w:bCs/>
                <w:sz w:val="21"/>
                <w:szCs w:val="21"/>
                <w:u w:val="single"/>
                <w:lang w:val="zh-CN" w:eastAsia="zh-CN"/>
              </w:rPr>
            </w:pPr>
            <w:r>
              <w:rPr>
                <w:rFonts w:hint="eastAsia" w:ascii="宋体" w:hAnsi="宋体" w:eastAsia="宋体" w:cs="宋体"/>
                <w:b/>
                <w:bCs/>
                <w:sz w:val="21"/>
                <w:szCs w:val="21"/>
                <w:u w:val="single"/>
                <w:lang w:val="zh-CN" w:eastAsia="zh-CN"/>
              </w:rPr>
              <w:t>（2）申报单位自备演示设备，</w:t>
            </w:r>
            <w:r>
              <w:rPr>
                <w:rFonts w:hint="eastAsia" w:ascii="宋体" w:hAnsi="宋体" w:eastAsia="宋体" w:cs="宋体"/>
                <w:b/>
                <w:bCs/>
                <w:sz w:val="21"/>
                <w:szCs w:val="21"/>
                <w:u w:val="single"/>
                <w:lang w:val="en-US" w:eastAsia="zh-CN"/>
              </w:rPr>
              <w:t>按上述</w:t>
            </w:r>
            <w:r>
              <w:rPr>
                <w:rFonts w:hint="eastAsia" w:ascii="宋体" w:hAnsi="宋体" w:eastAsia="宋体" w:cs="宋体"/>
                <w:b/>
                <w:bCs/>
                <w:sz w:val="21"/>
                <w:szCs w:val="21"/>
                <w:u w:val="single"/>
                <w:lang w:val="zh-CN" w:eastAsia="zh-CN"/>
              </w:rPr>
              <w:t>演示要求逐条进行演示</w:t>
            </w:r>
            <w:r>
              <w:rPr>
                <w:rFonts w:hint="eastAsia" w:ascii="宋体" w:hAnsi="宋体" w:eastAsia="宋体" w:cs="宋体"/>
                <w:b/>
                <w:bCs/>
                <w:sz w:val="21"/>
                <w:szCs w:val="21"/>
                <w:u w:val="single"/>
                <w:lang w:val="en-US" w:eastAsia="zh-CN"/>
              </w:rPr>
              <w:t>（因疫情原因采用线上远程演示方式，具体方式以正式通知为准）</w:t>
            </w:r>
            <w:r>
              <w:rPr>
                <w:rFonts w:hint="eastAsia" w:ascii="宋体" w:hAnsi="宋体" w:eastAsia="宋体" w:cs="宋体"/>
                <w:b/>
                <w:bCs/>
                <w:sz w:val="21"/>
                <w:szCs w:val="21"/>
                <w:u w:val="single"/>
                <w:lang w:val="zh-CN" w:eastAsia="zh-CN"/>
              </w:rPr>
              <w:t>，演示时间原则上不超过</w:t>
            </w:r>
            <w:r>
              <w:rPr>
                <w:rFonts w:hint="eastAsia" w:ascii="宋体" w:hAnsi="宋体" w:eastAsia="宋体" w:cs="宋体"/>
                <w:b/>
                <w:bCs/>
                <w:sz w:val="21"/>
                <w:szCs w:val="21"/>
                <w:u w:val="single"/>
                <w:lang w:val="en-US" w:eastAsia="zh-CN"/>
              </w:rPr>
              <w:t>30</w:t>
            </w:r>
            <w:r>
              <w:rPr>
                <w:rFonts w:hint="eastAsia" w:ascii="宋体" w:hAnsi="宋体" w:eastAsia="宋体" w:cs="宋体"/>
                <w:b/>
                <w:bCs/>
                <w:sz w:val="21"/>
                <w:szCs w:val="21"/>
                <w:u w:val="single"/>
                <w:lang w:val="zh-CN" w:eastAsia="zh-CN"/>
              </w:rPr>
              <w:t>分钟，</w:t>
            </w:r>
            <w:r>
              <w:rPr>
                <w:rFonts w:hint="eastAsia" w:ascii="宋体" w:hAnsi="宋体" w:eastAsia="宋体" w:cs="宋体"/>
                <w:b/>
                <w:bCs/>
                <w:sz w:val="21"/>
                <w:szCs w:val="21"/>
                <w:u w:val="single"/>
                <w:lang w:val="en-US" w:eastAsia="zh-CN"/>
              </w:rPr>
              <w:t>专家提问时间5分钟</w:t>
            </w:r>
            <w:r>
              <w:rPr>
                <w:rFonts w:hint="eastAsia" w:ascii="宋体" w:hAnsi="宋体" w:eastAsia="宋体" w:cs="宋体"/>
                <w:b/>
                <w:bCs/>
                <w:sz w:val="21"/>
                <w:szCs w:val="21"/>
                <w:u w:val="single"/>
                <w:lang w:val="zh-CN" w:eastAsia="zh-CN"/>
              </w:rPr>
              <w:t>；</w:t>
            </w:r>
          </w:p>
          <w:p>
            <w:pPr>
              <w:ind w:right="42" w:rightChars="20"/>
              <w:jc w:val="both"/>
              <w:rPr>
                <w:rFonts w:hint="eastAsia" w:ascii="仿宋_GB2312" w:hAnsi="仿宋_GB2312" w:eastAsia="仿宋_GB2312" w:cs="仿宋_GB2312"/>
                <w:color w:val="000000"/>
                <w:sz w:val="24"/>
                <w:szCs w:val="24"/>
                <w:lang w:val="en-US" w:eastAsia="zh-CN"/>
              </w:rPr>
            </w:pPr>
            <w:r>
              <w:rPr>
                <w:rFonts w:hint="eastAsia" w:ascii="宋体" w:hAnsi="宋体" w:eastAsia="宋体" w:cs="宋体"/>
                <w:b/>
                <w:bCs/>
                <w:sz w:val="21"/>
                <w:szCs w:val="21"/>
                <w:u w:val="single"/>
                <w:lang w:val="zh-CN" w:eastAsia="zh-CN"/>
              </w:rPr>
              <w:t>（</w:t>
            </w:r>
            <w:r>
              <w:rPr>
                <w:rFonts w:hint="eastAsia" w:ascii="宋体" w:hAnsi="宋体" w:eastAsia="宋体" w:cs="宋体"/>
                <w:b/>
                <w:bCs/>
                <w:sz w:val="21"/>
                <w:szCs w:val="21"/>
                <w:u w:val="single"/>
                <w:lang w:val="en-US" w:eastAsia="zh-CN"/>
              </w:rPr>
              <w:t>3</w:t>
            </w:r>
            <w:r>
              <w:rPr>
                <w:rFonts w:hint="eastAsia" w:ascii="宋体" w:hAnsi="宋体" w:eastAsia="宋体" w:cs="宋体"/>
                <w:b/>
                <w:bCs/>
                <w:sz w:val="21"/>
                <w:szCs w:val="21"/>
                <w:u w:val="single"/>
                <w:lang w:val="zh-CN" w:eastAsia="zh-CN"/>
              </w:rPr>
              <w:t>）系统演示需要为真实</w:t>
            </w:r>
            <w:r>
              <w:rPr>
                <w:rFonts w:hint="eastAsia" w:ascii="宋体" w:hAnsi="宋体" w:eastAsia="宋体" w:cs="宋体"/>
                <w:b/>
                <w:bCs/>
                <w:sz w:val="21"/>
                <w:szCs w:val="21"/>
                <w:u w:val="single"/>
                <w:lang w:val="en-US" w:eastAsia="zh-CN"/>
              </w:rPr>
              <w:t>运行平台</w:t>
            </w:r>
            <w:r>
              <w:rPr>
                <w:rFonts w:hint="eastAsia" w:ascii="宋体" w:hAnsi="宋体" w:eastAsia="宋体" w:cs="宋体"/>
                <w:b/>
                <w:bCs/>
                <w:sz w:val="21"/>
                <w:szCs w:val="21"/>
                <w:u w:val="single"/>
                <w:lang w:val="zh-CN" w:eastAsia="zh-CN"/>
              </w:rPr>
              <w:t>系统，如采用高保真原型或 PPT 演示的</w:t>
            </w:r>
            <w:r>
              <w:rPr>
                <w:rFonts w:hint="eastAsia" w:ascii="宋体" w:hAnsi="宋体" w:eastAsia="宋体" w:cs="宋体"/>
                <w:b/>
                <w:bCs/>
                <w:sz w:val="21"/>
                <w:szCs w:val="21"/>
                <w:u w:val="single"/>
                <w:lang w:val="en-US" w:eastAsia="zh-CN"/>
              </w:rPr>
              <w:t>不得分</w:t>
            </w:r>
            <w:r>
              <w:rPr>
                <w:rFonts w:hint="eastAsia" w:ascii="宋体" w:hAnsi="宋体" w:eastAsia="宋体" w:cs="宋体"/>
                <w:b/>
                <w:bCs/>
                <w:sz w:val="21"/>
                <w:szCs w:val="21"/>
                <w:u w:val="single"/>
                <w:lang w:val="zh-CN" w:eastAsia="zh-CN"/>
              </w:rPr>
              <w:t>。</w:t>
            </w:r>
          </w:p>
        </w:tc>
        <w:tc>
          <w:tcPr>
            <w:tcW w:w="803" w:type="dxa"/>
            <w:tcBorders>
              <w:tl2br w:val="nil"/>
              <w:tr2bl w:val="nil"/>
            </w:tcBorders>
            <w:tcMar>
              <w:top w:w="0" w:type="dxa"/>
              <w:left w:w="108" w:type="dxa"/>
              <w:bottom w:w="0" w:type="dxa"/>
              <w:right w:w="108" w:type="dxa"/>
            </w:tcMar>
            <w:vAlign w:val="center"/>
          </w:tcPr>
          <w:p>
            <w:pPr>
              <w:ind w:right="40" w:rightChars="19"/>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24分</w:t>
            </w:r>
          </w:p>
        </w:tc>
        <w:tc>
          <w:tcPr>
            <w:tcW w:w="826" w:type="dxa"/>
            <w:tcBorders>
              <w:tl2br w:val="nil"/>
              <w:tr2bl w:val="nil"/>
            </w:tcBorders>
            <w:tcMar>
              <w:top w:w="0" w:type="dxa"/>
              <w:left w:w="108" w:type="dxa"/>
              <w:bottom w:w="0" w:type="dxa"/>
              <w:right w:w="108" w:type="dxa"/>
            </w:tcMar>
            <w:vAlign w:val="center"/>
          </w:tcPr>
          <w:p>
            <w:pPr>
              <w:ind w:right="-191" w:rightChars="-91"/>
              <w:jc w:val="both"/>
              <w:rPr>
                <w:rFonts w:hint="eastAsia" w:ascii="仿宋_GB2312" w:hAnsi="仿宋_GB2312" w:eastAsia="仿宋_GB2312" w:cs="仿宋_GB2312"/>
                <w:color w:val="auto"/>
                <w:sz w:val="24"/>
                <w:szCs w:val="24"/>
                <w:lang w:val="en-US" w:eastAsia="zh-CN"/>
              </w:rPr>
            </w:pPr>
          </w:p>
        </w:tc>
      </w:tr>
    </w:tbl>
    <w:p>
      <w:pPr>
        <w:bidi w:val="0"/>
        <w:rPr>
          <w:rFonts w:hint="eastAsia"/>
          <w:lang w:val="en-US" w:eastAsia="zh-CN"/>
        </w:rPr>
      </w:pPr>
    </w:p>
    <w:sectPr>
      <w:footerReference r:id="rId3" w:type="default"/>
      <w:footerReference r:id="rId4" w:type="even"/>
      <w:pgSz w:w="11906" w:h="16838"/>
      <w:pgMar w:top="1440" w:right="1633" w:bottom="1440" w:left="1633" w:header="851" w:footer="1418"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004020304"/>
    <w:charset w:val="86"/>
    <w:family w:val="auto"/>
    <w:pitch w:val="default"/>
    <w:sig w:usb0="00000000" w:usb1="00000000" w:usb2="00000009" w:usb3="00000000" w:csb0="400001FF" w:csb1="FFFF0000"/>
  </w:font>
  <w:font w:name="宋体">
    <w:altName w:val="方正书宋_GBK"/>
    <w:panose1 w:val="020106000300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仿宋"/>
    <w:panose1 w:val="00000000000000000000"/>
    <w:charset w:val="00"/>
    <w:family w:val="auto"/>
    <w:pitch w:val="default"/>
    <w:sig w:usb0="00000000" w:usb1="00000000" w:usb2="00000000" w:usb3="00000000" w:csb0="00000000" w:csb1="00000000"/>
  </w:font>
  <w:font w:name="FangSong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hint="eastAsia" w:ascii="仿宋_GB2312" w:eastAsia="仿宋_GB2312"/>
        <w:sz w:val="28"/>
        <w:szCs w:val="28"/>
      </w:rPr>
    </w:pPr>
    <w:r>
      <w:rPr>
        <w:rStyle w:val="13"/>
        <w:rFonts w:hint="eastAsia" w:ascii="仿宋_GB2312" w:eastAsia="仿宋_GB2312"/>
        <w:sz w:val="28"/>
        <w:szCs w:val="28"/>
      </w:rPr>
      <w:fldChar w:fldCharType="begin"/>
    </w:r>
    <w:r>
      <w:rPr>
        <w:rStyle w:val="13"/>
        <w:rFonts w:hint="eastAsia" w:ascii="仿宋_GB2312" w:eastAsia="仿宋_GB2312"/>
        <w:sz w:val="28"/>
        <w:szCs w:val="28"/>
      </w:rPr>
      <w:instrText xml:space="preserve">PAGE  </w:instrText>
    </w:r>
    <w:r>
      <w:rPr>
        <w:rStyle w:val="13"/>
        <w:rFonts w:hint="eastAsia" w:ascii="仿宋_GB2312" w:eastAsia="仿宋_GB2312"/>
        <w:sz w:val="28"/>
        <w:szCs w:val="28"/>
      </w:rPr>
      <w:fldChar w:fldCharType="separate"/>
    </w:r>
    <w:r>
      <w:rPr>
        <w:rStyle w:val="13"/>
        <w:rFonts w:ascii="仿宋_GB2312" w:eastAsia="仿宋_GB2312"/>
        <w:sz w:val="28"/>
        <w:szCs w:val="28"/>
      </w:rPr>
      <w:t>- 1 -</w:t>
    </w:r>
    <w:r>
      <w:rPr>
        <w:rStyle w:val="13"/>
        <w:rFonts w:hint="eastAsia" w:ascii="仿宋_GB2312" w:eastAsia="仿宋_GB2312"/>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D7891"/>
    <w:rsid w:val="3D2EED26"/>
    <w:rsid w:val="6DFF9716"/>
    <w:rsid w:val="77D36945"/>
    <w:rsid w:val="7BFCE54B"/>
    <w:rsid w:val="F7FDF56E"/>
    <w:rsid w:val="FF3E9E4F"/>
    <w:rsid w:val="FFF6660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50" w:beforeLines="50" w:after="50" w:afterLines="50" w:line="360" w:lineRule="auto"/>
      <w:ind w:firstLine="0" w:firstLineChars="0"/>
      <w:outlineLvl w:val="0"/>
    </w:pPr>
    <w:rPr>
      <w:rFonts w:eastAsia="黑体"/>
      <w:bCs/>
      <w:kern w:val="44"/>
      <w:sz w:val="32"/>
      <w:szCs w:val="44"/>
    </w:rPr>
  </w:style>
  <w:style w:type="paragraph" w:styleId="3">
    <w:name w:val="heading 2"/>
    <w:basedOn w:val="1"/>
    <w:next w:val="4"/>
    <w:qFormat/>
    <w:uiPriority w:val="0"/>
    <w:pPr>
      <w:keepNext/>
      <w:keepLines/>
      <w:spacing w:before="260" w:after="260" w:line="413" w:lineRule="auto"/>
      <w:outlineLvl w:val="1"/>
    </w:pPr>
    <w:rPr>
      <w:rFonts w:ascii="Arial" w:hAnsi="Arial" w:eastAsia="黑体"/>
      <w:b/>
      <w:bCs/>
      <w:kern w:val="0"/>
      <w:sz w:val="32"/>
      <w:szCs w:val="32"/>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 w:val="24"/>
    </w:rPr>
  </w:style>
  <w:style w:type="paragraph" w:styleId="5">
    <w:name w:val="Body Text"/>
    <w:basedOn w:val="1"/>
    <w:qFormat/>
    <w:uiPriority w:val="0"/>
    <w:pPr>
      <w:widowControl/>
      <w:spacing w:before="100" w:beforeAutospacing="1" w:after="100" w:afterAutospacing="1"/>
      <w:jc w:val="left"/>
    </w:pPr>
    <w:rPr>
      <w:kern w:val="0"/>
      <w:sz w:val="20"/>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99"/>
    <w:pPr>
      <w:snapToGrid w:val="0"/>
      <w:jc w:val="left"/>
    </w:pPr>
    <w:rPr>
      <w:sz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footnote reference"/>
    <w:basedOn w:val="11"/>
    <w:qFormat/>
    <w:uiPriority w:val="99"/>
    <w:rPr>
      <w:vertAlign w:val="superscript"/>
    </w:rPr>
  </w:style>
  <w:style w:type="paragraph" w:customStyle="1" w:styleId="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p1"/>
    <w:basedOn w:val="1"/>
    <w:qFormat/>
    <w:uiPriority w:val="0"/>
    <w:pPr>
      <w:spacing w:before="0" w:beforeAutospacing="0" w:after="0" w:afterAutospacing="0"/>
      <w:ind w:left="0" w:right="0"/>
      <w:jc w:val="both"/>
    </w:pPr>
    <w:rPr>
      <w:rFonts w:ascii="pingfang sc" w:hAnsi="pingfang sc" w:eastAsia="pingfang sc" w:cs="pingfang sc"/>
      <w:color w:val="535353"/>
      <w:kern w:val="0"/>
      <w:sz w:val="9"/>
      <w:szCs w:val="9"/>
      <w:lang w:val="en-US" w:eastAsia="zh-CN"/>
    </w:rPr>
  </w:style>
  <w:style w:type="paragraph" w:customStyle="1" w:styleId="17">
    <w:name w:val="Default"/>
    <w:qFormat/>
    <w:uiPriority w:val="99"/>
    <w:pPr>
      <w:widowControl w:val="0"/>
      <w:autoSpaceDE w:val="0"/>
      <w:autoSpaceDN w:val="0"/>
      <w:adjustRightInd w:val="0"/>
    </w:pPr>
    <w:rPr>
      <w:rFonts w:hint="eastAsia"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6942</Words>
  <Characters>7142</Characters>
  <Paragraphs>348</Paragraphs>
  <TotalTime>35</TotalTime>
  <ScaleCrop>false</ScaleCrop>
  <LinksUpToDate>false</LinksUpToDate>
  <CharactersWithSpaces>7178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2018-05-19T16:59:00Z</dcterms:created>
  <dc:creator>WOTU</dc:creator>
  <cp:lastModifiedBy>lenovo</cp:lastModifiedBy>
  <cp:lastPrinted>2022-04-22T00:38:00Z</cp:lastPrinted>
  <dcterms:modified xsi:type="dcterms:W3CDTF">2022-04-24T18:37:20Z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DF8564EBF4BE46948F3D6326A9179945</vt:lpwstr>
  </property>
</Properties>
</file>