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bCs/>
          <w:sz w:val="32"/>
          <w:szCs w:val="44"/>
        </w:rPr>
      </w:pPr>
      <w:r>
        <w:rPr>
          <w:rFonts w:hint="eastAsia" w:ascii="黑体" w:hAnsi="黑体" w:eastAsia="黑体"/>
          <w:bCs/>
          <w:sz w:val="32"/>
          <w:szCs w:val="44"/>
        </w:rPr>
        <w:t>附件：</w:t>
      </w:r>
    </w:p>
    <w:p>
      <w:pPr>
        <w:jc w:val="center"/>
        <w:rPr>
          <w:rFonts w:hint="eastAsia" w:ascii="黑体" w:hAnsi="黑体" w:eastAsia="黑体"/>
          <w:b/>
          <w:bCs/>
          <w:sz w:val="44"/>
        </w:rPr>
      </w:pPr>
      <w:r>
        <w:rPr>
          <w:rFonts w:hint="eastAsia" w:ascii="黑体" w:hAnsi="黑体" w:eastAsia="黑体"/>
          <w:b/>
          <w:bCs/>
          <w:sz w:val="44"/>
        </w:rPr>
        <w:t>2018年第二批重大劳动保障违法案件汇总表</w:t>
      </w:r>
    </w:p>
    <w:p>
      <w:pPr>
        <w:jc w:val="center"/>
        <w:rPr>
          <w:rFonts w:hint="eastAsia" w:ascii="黑体" w:hAnsi="黑体" w:eastAsia="黑体"/>
          <w:b/>
          <w:bCs/>
          <w:sz w:val="44"/>
        </w:rPr>
      </w:pPr>
    </w:p>
    <w:tbl>
      <w:tblPr>
        <w:tblStyle w:val="3"/>
        <w:tblW w:w="1446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10"/>
        <w:gridCol w:w="2971"/>
        <w:gridCol w:w="1559"/>
        <w:gridCol w:w="1695"/>
        <w:gridCol w:w="1605"/>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40"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序号</w:t>
            </w:r>
          </w:p>
        </w:tc>
        <w:tc>
          <w:tcPr>
            <w:tcW w:w="1410"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违法主体</w:t>
            </w:r>
          </w:p>
        </w:tc>
        <w:tc>
          <w:tcPr>
            <w:tcW w:w="2971"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统一社会信用代码（注册号）或身份证号</w:t>
            </w:r>
          </w:p>
        </w:tc>
        <w:tc>
          <w:tcPr>
            <w:tcW w:w="1559"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地址</w:t>
            </w:r>
          </w:p>
        </w:tc>
        <w:tc>
          <w:tcPr>
            <w:tcW w:w="1695"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法定代表人或负责人</w:t>
            </w:r>
          </w:p>
        </w:tc>
        <w:tc>
          <w:tcPr>
            <w:tcW w:w="1605"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主要违法事实</w:t>
            </w:r>
          </w:p>
        </w:tc>
        <w:tc>
          <w:tcPr>
            <w:tcW w:w="4380"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查处情况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0" w:hRule="atLeast"/>
        </w:trPr>
        <w:tc>
          <w:tcPr>
            <w:tcW w:w="840" w:type="dxa"/>
            <w:noWrap w:val="0"/>
            <w:vAlign w:val="center"/>
          </w:tcPr>
          <w:p>
            <w:pPr>
              <w:spacing w:line="440" w:lineRule="exact"/>
              <w:jc w:val="center"/>
              <w:rPr>
                <w:rFonts w:hint="eastAsia" w:ascii="楷体" w:hAnsi="楷体" w:eastAsia="楷体"/>
                <w:b/>
                <w:bCs/>
                <w:sz w:val="28"/>
              </w:rPr>
            </w:pPr>
            <w:r>
              <w:rPr>
                <w:rFonts w:hint="eastAsia" w:ascii="楷体" w:hAnsi="楷体" w:eastAsia="楷体"/>
                <w:b/>
                <w:bCs/>
                <w:sz w:val="28"/>
              </w:rPr>
              <w:t>1</w:t>
            </w:r>
          </w:p>
        </w:tc>
        <w:tc>
          <w:tcPr>
            <w:tcW w:w="1410" w:type="dxa"/>
            <w:noWrap w:val="0"/>
            <w:vAlign w:val="center"/>
          </w:tcPr>
          <w:p>
            <w:pPr>
              <w:autoSpaceDN w:val="0"/>
              <w:rPr>
                <w:rFonts w:hint="eastAsia" w:ascii="黑体" w:hAnsi="黑体" w:eastAsia="黑体"/>
                <w:sz w:val="24"/>
              </w:rPr>
            </w:pPr>
            <w:r>
              <w:rPr>
                <w:rFonts w:hint="eastAsia" w:ascii="黑体" w:hAnsi="黑体" w:eastAsia="黑体"/>
                <w:sz w:val="24"/>
              </w:rPr>
              <w:t>海口</w:t>
            </w:r>
            <w:r>
              <w:rPr>
                <w:rFonts w:hint="eastAsia" w:ascii="黑体" w:hAnsi="黑体" w:eastAsia="黑体"/>
                <w:color w:val="000000"/>
                <w:sz w:val="24"/>
              </w:rPr>
              <w:t>殷瑞实业有限公司</w:t>
            </w:r>
          </w:p>
        </w:tc>
        <w:tc>
          <w:tcPr>
            <w:tcW w:w="2971" w:type="dxa"/>
            <w:noWrap w:val="0"/>
            <w:vAlign w:val="center"/>
          </w:tcPr>
          <w:p>
            <w:pPr>
              <w:spacing w:line="440" w:lineRule="exact"/>
              <w:jc w:val="center"/>
              <w:rPr>
                <w:rFonts w:hint="eastAsia" w:ascii="黑体" w:hAnsi="黑体" w:eastAsia="黑体"/>
                <w:sz w:val="24"/>
              </w:rPr>
            </w:pPr>
            <w:r>
              <w:rPr>
                <w:rFonts w:ascii="宋体" w:hAnsi="宋体"/>
                <w:color w:val="000000"/>
                <w:sz w:val="27"/>
              </w:rPr>
              <w:t>9146010006969520XY</w:t>
            </w:r>
            <w:r>
              <w:rPr>
                <w:rFonts w:hint="eastAsia" w:ascii="黑体" w:hAnsi="黑体" w:eastAsia="黑体"/>
                <w:sz w:val="24"/>
              </w:rPr>
              <w:t xml:space="preserve"> </w:t>
            </w:r>
          </w:p>
        </w:tc>
        <w:tc>
          <w:tcPr>
            <w:tcW w:w="1559" w:type="dxa"/>
            <w:noWrap w:val="0"/>
            <w:vAlign w:val="center"/>
          </w:tcPr>
          <w:p>
            <w:pPr>
              <w:autoSpaceDN w:val="0"/>
              <w:rPr>
                <w:rFonts w:ascii="黑体" w:hAnsi="黑体" w:eastAsia="黑体"/>
                <w:sz w:val="24"/>
              </w:rPr>
            </w:pPr>
            <w:r>
              <w:rPr>
                <w:rFonts w:ascii="黑体" w:hAnsi="黑体" w:eastAsia="黑体"/>
                <w:sz w:val="24"/>
              </w:rPr>
              <w:t>海口市琼山区国兴大道兴丹路学院公寓</w:t>
            </w:r>
            <w:r>
              <w:rPr>
                <w:rFonts w:hint="eastAsia" w:ascii="黑体" w:hAnsi="黑体" w:eastAsia="黑体"/>
                <w:sz w:val="24"/>
              </w:rPr>
              <w:t>C</w:t>
            </w:r>
            <w:r>
              <w:rPr>
                <w:rFonts w:ascii="黑体" w:hAnsi="黑体" w:eastAsia="黑体"/>
                <w:sz w:val="24"/>
              </w:rPr>
              <w:t>栋17A</w:t>
            </w:r>
          </w:p>
          <w:p>
            <w:pPr>
              <w:spacing w:line="440" w:lineRule="exact"/>
              <w:rPr>
                <w:rFonts w:hint="eastAsia" w:ascii="黑体" w:hAnsi="黑体" w:eastAsia="黑体"/>
                <w:sz w:val="24"/>
              </w:rPr>
            </w:pPr>
          </w:p>
        </w:tc>
        <w:tc>
          <w:tcPr>
            <w:tcW w:w="1695"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李文军</w:t>
            </w:r>
          </w:p>
        </w:tc>
        <w:tc>
          <w:tcPr>
            <w:tcW w:w="1605" w:type="dxa"/>
            <w:noWrap w:val="0"/>
            <w:vAlign w:val="center"/>
          </w:tcPr>
          <w:p>
            <w:pPr>
              <w:autoSpaceDN w:val="0"/>
              <w:rPr>
                <w:rFonts w:hint="eastAsia" w:ascii="黑体" w:hAnsi="黑体" w:eastAsia="黑体"/>
                <w:sz w:val="24"/>
              </w:rPr>
            </w:pPr>
            <w:r>
              <w:rPr>
                <w:rFonts w:hint="eastAsia" w:ascii="黑体" w:hAnsi="黑体" w:eastAsia="黑体"/>
                <w:sz w:val="24"/>
              </w:rPr>
              <w:t>吴小姣、殷礼曼2人投诉该单位拖欠其2017年8月份至2018年2月份工资合计22553元。</w:t>
            </w:r>
          </w:p>
        </w:tc>
        <w:tc>
          <w:tcPr>
            <w:tcW w:w="4380" w:type="dxa"/>
            <w:noWrap w:val="0"/>
            <w:vAlign w:val="center"/>
          </w:tcPr>
          <w:p>
            <w:pPr>
              <w:spacing w:line="440" w:lineRule="exact"/>
              <w:rPr>
                <w:rFonts w:hint="eastAsia" w:ascii="黑体" w:hAnsi="黑体" w:eastAsia="黑体"/>
                <w:sz w:val="24"/>
              </w:rPr>
            </w:pPr>
            <w:r>
              <w:rPr>
                <w:rFonts w:hint="eastAsia" w:ascii="黑体" w:hAnsi="黑体" w:eastAsia="黑体"/>
                <w:sz w:val="24"/>
              </w:rPr>
              <w:t>2018年3月26日，下达《劳动保障监察核实工资通知书》（琼山劳保监核字[2018]第16号），2018年4月3日下达《劳动保障监察责令改正决定书》（琼山人社劳保监令字〔2018〕第22号），2018年4月27日，下达《劳动保障监察行政处罚事先告知书》（琼山人社劳保监告字〔2018〕第5号），2018年5月8日下达《劳动保障监察行政处罚决定书》（琼山人社劳保监罚字〔2018〕第5号）。2018年6月25日将该案移送琼山公安分局处理。2018年9月3日公安部门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0" w:hRule="atLeast"/>
        </w:trPr>
        <w:tc>
          <w:tcPr>
            <w:tcW w:w="840"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2</w:t>
            </w:r>
          </w:p>
        </w:tc>
        <w:tc>
          <w:tcPr>
            <w:tcW w:w="1410"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海南家和汽车租赁有限公司</w:t>
            </w:r>
            <w:r>
              <w:rPr>
                <w:rFonts w:ascii="黑体" w:hAnsi="黑体" w:eastAsia="黑体"/>
                <w:sz w:val="24"/>
              </w:rPr>
              <w:t xml:space="preserve"> </w:t>
            </w:r>
          </w:p>
        </w:tc>
        <w:tc>
          <w:tcPr>
            <w:tcW w:w="2971"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 xml:space="preserve">91460000394567631T </w:t>
            </w:r>
            <w:r>
              <w:rPr>
                <w:rFonts w:ascii="黑体" w:hAnsi="黑体" w:eastAsia="黑体"/>
                <w:sz w:val="24"/>
              </w:rPr>
              <w:t xml:space="preserve"> </w:t>
            </w:r>
          </w:p>
        </w:tc>
        <w:tc>
          <w:tcPr>
            <w:tcW w:w="1559" w:type="dxa"/>
            <w:noWrap w:val="0"/>
            <w:vAlign w:val="center"/>
          </w:tcPr>
          <w:p>
            <w:pPr>
              <w:spacing w:line="440" w:lineRule="exact"/>
              <w:rPr>
                <w:rFonts w:hint="eastAsia" w:ascii="黑体" w:hAnsi="黑体" w:eastAsia="黑体"/>
                <w:sz w:val="24"/>
              </w:rPr>
            </w:pPr>
            <w:r>
              <w:rPr>
                <w:rFonts w:hint="eastAsia" w:ascii="黑体" w:hAnsi="黑体" w:eastAsia="黑体"/>
                <w:sz w:val="24"/>
              </w:rPr>
              <w:t>海口市琼山区凤翔东路海和公寓803房</w:t>
            </w:r>
          </w:p>
        </w:tc>
        <w:tc>
          <w:tcPr>
            <w:tcW w:w="1695"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钟琼峰</w:t>
            </w:r>
          </w:p>
        </w:tc>
        <w:tc>
          <w:tcPr>
            <w:tcW w:w="1605" w:type="dxa"/>
            <w:noWrap w:val="0"/>
            <w:vAlign w:val="center"/>
          </w:tcPr>
          <w:p>
            <w:pPr>
              <w:spacing w:line="440" w:lineRule="exact"/>
              <w:rPr>
                <w:rFonts w:hint="eastAsia" w:ascii="黑体" w:hAnsi="黑体" w:eastAsia="黑体"/>
                <w:sz w:val="24"/>
              </w:rPr>
            </w:pPr>
            <w:r>
              <w:rPr>
                <w:rFonts w:hint="eastAsia" w:ascii="黑体" w:hAnsi="黑体" w:eastAsia="黑体"/>
                <w:sz w:val="24"/>
              </w:rPr>
              <w:t>曾冬妮等6人投诉该单位拖欠其2017年6月至2018年2月工资合计119307元。经核查，双方无争议的数额为41114元。</w:t>
            </w:r>
          </w:p>
        </w:tc>
        <w:tc>
          <w:tcPr>
            <w:tcW w:w="4380" w:type="dxa"/>
            <w:noWrap w:val="0"/>
            <w:vAlign w:val="center"/>
          </w:tcPr>
          <w:p>
            <w:pPr>
              <w:spacing w:line="440" w:lineRule="exact"/>
              <w:rPr>
                <w:rFonts w:hint="eastAsia" w:ascii="黑体" w:hAnsi="黑体" w:eastAsia="黑体"/>
                <w:sz w:val="24"/>
              </w:rPr>
            </w:pPr>
            <w:r>
              <w:rPr>
                <w:rFonts w:hint="eastAsia" w:ascii="黑体" w:hAnsi="黑体" w:eastAsia="黑体"/>
                <w:sz w:val="24"/>
              </w:rPr>
              <w:t>2018年6月5日下达《劳动保障监察责令改正决定书》（琼山人社劳保监令字〔2018〕第72号）,责令该司限期内全额支付所拖欠的工人工资合计41114元，但该司拒不改正。2018年9月19日，将该案移送琼山公安分局处理，9月27日公安部门发函给人社部门要求补充材料。目前，该公司在海口市社会公布之后支付了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2" w:hRule="atLeast"/>
        </w:trPr>
        <w:tc>
          <w:tcPr>
            <w:tcW w:w="840"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3</w:t>
            </w:r>
          </w:p>
        </w:tc>
        <w:tc>
          <w:tcPr>
            <w:tcW w:w="1410" w:type="dxa"/>
            <w:noWrap w:val="0"/>
            <w:vAlign w:val="center"/>
          </w:tcPr>
          <w:p>
            <w:pPr>
              <w:spacing w:line="440" w:lineRule="exact"/>
              <w:rPr>
                <w:rFonts w:hint="eastAsia" w:ascii="黑体" w:hAnsi="黑体" w:eastAsia="黑体"/>
                <w:sz w:val="24"/>
              </w:rPr>
            </w:pPr>
            <w:r>
              <w:rPr>
                <w:rFonts w:hint="eastAsia" w:ascii="黑体" w:hAnsi="黑体" w:eastAsia="黑体"/>
                <w:sz w:val="24"/>
              </w:rPr>
              <w:t>海南志美装饰工程有限公司</w:t>
            </w:r>
          </w:p>
        </w:tc>
        <w:tc>
          <w:tcPr>
            <w:tcW w:w="2971" w:type="dxa"/>
            <w:noWrap w:val="0"/>
            <w:vAlign w:val="center"/>
          </w:tcPr>
          <w:p>
            <w:pPr>
              <w:spacing w:line="440" w:lineRule="exact"/>
              <w:rPr>
                <w:rFonts w:hint="eastAsia" w:ascii="黑体" w:hAnsi="黑体" w:eastAsia="黑体"/>
                <w:sz w:val="24"/>
              </w:rPr>
            </w:pPr>
            <w:r>
              <w:rPr>
                <w:rFonts w:hint="eastAsia" w:ascii="黑体" w:hAnsi="黑体" w:eastAsia="黑体"/>
                <w:sz w:val="24"/>
              </w:rPr>
              <w:t>91460100MA5RGLW25U</w:t>
            </w:r>
          </w:p>
        </w:tc>
        <w:tc>
          <w:tcPr>
            <w:tcW w:w="1559" w:type="dxa"/>
            <w:noWrap w:val="0"/>
            <w:vAlign w:val="center"/>
          </w:tcPr>
          <w:p>
            <w:pPr>
              <w:spacing w:line="440" w:lineRule="exact"/>
              <w:rPr>
                <w:rFonts w:hint="eastAsia" w:ascii="黑体" w:hAnsi="黑体" w:eastAsia="黑体"/>
                <w:sz w:val="24"/>
              </w:rPr>
            </w:pPr>
            <w:r>
              <w:rPr>
                <w:rFonts w:hint="eastAsia" w:ascii="黑体" w:hAnsi="黑体" w:eastAsia="黑体"/>
                <w:sz w:val="24"/>
              </w:rPr>
              <w:t>海口市琼山区椰海大道18号椰林小区B栋1303房</w:t>
            </w:r>
          </w:p>
        </w:tc>
        <w:tc>
          <w:tcPr>
            <w:tcW w:w="1695"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陈志军</w:t>
            </w:r>
          </w:p>
        </w:tc>
        <w:tc>
          <w:tcPr>
            <w:tcW w:w="1605" w:type="dxa"/>
            <w:noWrap w:val="0"/>
            <w:vAlign w:val="center"/>
          </w:tcPr>
          <w:p>
            <w:pPr>
              <w:rPr>
                <w:rFonts w:hint="eastAsia" w:ascii="黑体" w:hAnsi="黑体" w:eastAsia="黑体"/>
                <w:sz w:val="24"/>
              </w:rPr>
            </w:pPr>
            <w:r>
              <w:rPr>
                <w:rFonts w:hint="eastAsia" w:ascii="黑体" w:hAnsi="黑体" w:eastAsia="黑体"/>
                <w:sz w:val="24"/>
              </w:rPr>
              <w:t>2018年6月19日、6月25日、6月28日、7月3日、杨吉林、李会英、李行等13人向秀英劳动保障监察大队投诉该单位拖欠其工资共132410元。</w:t>
            </w:r>
          </w:p>
        </w:tc>
        <w:tc>
          <w:tcPr>
            <w:tcW w:w="4380" w:type="dxa"/>
            <w:noWrap w:val="0"/>
            <w:vAlign w:val="center"/>
          </w:tcPr>
          <w:p>
            <w:pPr>
              <w:rPr>
                <w:rFonts w:hint="eastAsia" w:ascii="黑体" w:hAnsi="黑体" w:eastAsia="黑体"/>
                <w:sz w:val="24"/>
              </w:rPr>
            </w:pPr>
            <w:r>
              <w:rPr>
                <w:rFonts w:hint="eastAsia" w:ascii="黑体" w:hAnsi="黑体" w:eastAsia="黑体"/>
                <w:sz w:val="24"/>
              </w:rPr>
              <w:t>2018年7月11日，办案监察员依法到公司办公地点，张贴了《劳动保障监察限期责令改正决定书》（秀人社监令字[2018] 19号），责令该公司在决定书送达之日起5日内全额支付杨吉林、李会英、李行等13人工资共132410元。但该司拒不改正。已于2018年9月28日将该案移送秀英公安分局处理。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2" w:hRule="atLeast"/>
        </w:trPr>
        <w:tc>
          <w:tcPr>
            <w:tcW w:w="840"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4</w:t>
            </w:r>
          </w:p>
        </w:tc>
        <w:tc>
          <w:tcPr>
            <w:tcW w:w="1410" w:type="dxa"/>
            <w:noWrap w:val="0"/>
            <w:vAlign w:val="center"/>
          </w:tcPr>
          <w:p>
            <w:pPr>
              <w:spacing w:line="440" w:lineRule="exact"/>
              <w:rPr>
                <w:rFonts w:hint="eastAsia" w:ascii="黑体" w:hAnsi="黑体" w:eastAsia="黑体"/>
                <w:sz w:val="24"/>
              </w:rPr>
            </w:pPr>
            <w:r>
              <w:rPr>
                <w:rFonts w:ascii="黑体" w:hAnsi="黑体" w:eastAsia="黑体"/>
                <w:sz w:val="24"/>
              </w:rPr>
              <w:t>海南中铁黎客酒店管理有限公司</w:t>
            </w:r>
          </w:p>
        </w:tc>
        <w:tc>
          <w:tcPr>
            <w:tcW w:w="2971" w:type="dxa"/>
            <w:noWrap w:val="0"/>
            <w:vAlign w:val="center"/>
          </w:tcPr>
          <w:p>
            <w:pPr>
              <w:spacing w:line="440" w:lineRule="exact"/>
              <w:rPr>
                <w:rFonts w:hint="eastAsia" w:ascii="黑体" w:hAnsi="黑体" w:eastAsia="黑体"/>
                <w:sz w:val="24"/>
              </w:rPr>
            </w:pPr>
            <w:r>
              <w:rPr>
                <w:rFonts w:ascii="黑体" w:hAnsi="黑体" w:eastAsia="黑体"/>
                <w:sz w:val="24"/>
              </w:rPr>
              <w:t>91460200MA5RED9T72</w:t>
            </w:r>
          </w:p>
        </w:tc>
        <w:tc>
          <w:tcPr>
            <w:tcW w:w="1559" w:type="dxa"/>
            <w:noWrap w:val="0"/>
            <w:vAlign w:val="center"/>
          </w:tcPr>
          <w:p>
            <w:pPr>
              <w:spacing w:line="440" w:lineRule="exact"/>
              <w:rPr>
                <w:rFonts w:hint="eastAsia" w:ascii="黑体" w:hAnsi="黑体" w:eastAsia="黑体"/>
                <w:sz w:val="24"/>
              </w:rPr>
            </w:pPr>
            <w:r>
              <w:rPr>
                <w:rFonts w:ascii="黑体" w:hAnsi="黑体" w:eastAsia="黑体"/>
                <w:sz w:val="24"/>
              </w:rPr>
              <w:t>三亚市天涯区河西路115 号黎客国际酒店</w:t>
            </w:r>
          </w:p>
        </w:tc>
        <w:tc>
          <w:tcPr>
            <w:tcW w:w="1695" w:type="dxa"/>
            <w:noWrap w:val="0"/>
            <w:vAlign w:val="center"/>
          </w:tcPr>
          <w:p>
            <w:pPr>
              <w:spacing w:line="440" w:lineRule="exact"/>
              <w:jc w:val="center"/>
              <w:rPr>
                <w:rFonts w:hint="eastAsia" w:ascii="黑体" w:hAnsi="黑体" w:eastAsia="黑体"/>
                <w:sz w:val="24"/>
              </w:rPr>
            </w:pPr>
            <w:r>
              <w:rPr>
                <w:rFonts w:ascii="黑体" w:hAnsi="黑体" w:eastAsia="黑体"/>
                <w:sz w:val="24"/>
              </w:rPr>
              <w:t>宋涛</w:t>
            </w:r>
          </w:p>
        </w:tc>
        <w:tc>
          <w:tcPr>
            <w:tcW w:w="1605" w:type="dxa"/>
            <w:noWrap w:val="0"/>
            <w:vAlign w:val="center"/>
          </w:tcPr>
          <w:p>
            <w:pPr>
              <w:autoSpaceDN w:val="0"/>
              <w:rPr>
                <w:rFonts w:ascii="黑体" w:hAnsi="黑体" w:eastAsia="黑体"/>
                <w:sz w:val="24"/>
              </w:rPr>
            </w:pPr>
            <w:r>
              <w:rPr>
                <w:rFonts w:ascii="黑体" w:hAnsi="黑体" w:eastAsia="黑体"/>
                <w:sz w:val="24"/>
              </w:rPr>
              <w:t>2018 年 9 月7日，支队接到投诉：海南中铁 黎 客 酒 店管 理 有 限 公司 未 足 额 缴纳 2 名员工2017 年 1 月-2018 年 8 月的 社 会 保 险</w:t>
            </w:r>
          </w:p>
          <w:p>
            <w:pPr>
              <w:autoSpaceDN w:val="0"/>
              <w:rPr>
                <w:rFonts w:ascii="黑体" w:hAnsi="黑体" w:eastAsia="黑体"/>
                <w:sz w:val="24"/>
              </w:rPr>
            </w:pPr>
            <w:r>
              <w:rPr>
                <w:rFonts w:ascii="黑体" w:hAnsi="黑体" w:eastAsia="黑体"/>
                <w:sz w:val="24"/>
              </w:rPr>
              <w:t>费。</w:t>
            </w:r>
          </w:p>
          <w:p>
            <w:pPr>
              <w:rPr>
                <w:rFonts w:hint="eastAsia" w:ascii="黑体" w:hAnsi="黑体" w:eastAsia="黑体"/>
                <w:sz w:val="24"/>
              </w:rPr>
            </w:pPr>
          </w:p>
        </w:tc>
        <w:tc>
          <w:tcPr>
            <w:tcW w:w="4380" w:type="dxa"/>
            <w:noWrap w:val="0"/>
            <w:vAlign w:val="center"/>
          </w:tcPr>
          <w:p>
            <w:pPr>
              <w:rPr>
                <w:rFonts w:hint="eastAsia" w:ascii="黑体" w:hAnsi="黑体" w:eastAsia="黑体"/>
                <w:sz w:val="24"/>
              </w:rPr>
            </w:pPr>
            <w:r>
              <w:rPr>
                <w:rFonts w:ascii="黑体" w:hAnsi="黑体" w:eastAsia="黑体"/>
                <w:sz w:val="24"/>
              </w:rPr>
              <w:t>2018 年 11 月 16 日，三亚市劳动保障监察支队向该用工单位下达行政处罚决定书，对该单位未依法足额缴纳员工社会保险费且拒不改正的行为处以 18000 元罚款；对该单位未按劳动行政部门要求报送劳动用工书面材料且拒不改正的行为处以 18000 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2" w:hRule="atLeast"/>
        </w:trPr>
        <w:tc>
          <w:tcPr>
            <w:tcW w:w="840" w:type="dxa"/>
            <w:noWrap w:val="0"/>
            <w:vAlign w:val="center"/>
          </w:tcPr>
          <w:p>
            <w:pPr>
              <w:spacing w:line="440" w:lineRule="exact"/>
              <w:jc w:val="center"/>
              <w:rPr>
                <w:rFonts w:hint="eastAsia" w:ascii="黑体" w:hAnsi="黑体" w:eastAsia="黑体"/>
                <w:sz w:val="24"/>
              </w:rPr>
            </w:pPr>
            <w:r>
              <w:rPr>
                <w:rFonts w:hint="eastAsia" w:ascii="黑体" w:hAnsi="黑体" w:eastAsia="黑体"/>
                <w:sz w:val="24"/>
              </w:rPr>
              <w:t>5</w:t>
            </w:r>
          </w:p>
        </w:tc>
        <w:tc>
          <w:tcPr>
            <w:tcW w:w="1410" w:type="dxa"/>
            <w:noWrap w:val="0"/>
            <w:vAlign w:val="center"/>
          </w:tcPr>
          <w:p>
            <w:pPr>
              <w:spacing w:line="440" w:lineRule="exact"/>
              <w:rPr>
                <w:rFonts w:hint="eastAsia" w:ascii="黑体" w:hAnsi="黑体" w:eastAsia="黑体"/>
                <w:sz w:val="24"/>
              </w:rPr>
            </w:pPr>
            <w:r>
              <w:rPr>
                <w:rFonts w:ascii="黑体" w:hAnsi="黑体" w:eastAsia="黑体"/>
                <w:sz w:val="24"/>
              </w:rPr>
              <w:t>厦门中诚建建筑劳务有限公司</w:t>
            </w:r>
          </w:p>
        </w:tc>
        <w:tc>
          <w:tcPr>
            <w:tcW w:w="2971" w:type="dxa"/>
            <w:noWrap w:val="0"/>
            <w:vAlign w:val="center"/>
          </w:tcPr>
          <w:p>
            <w:pPr>
              <w:spacing w:line="440" w:lineRule="exact"/>
              <w:rPr>
                <w:rFonts w:hint="eastAsia" w:ascii="黑体" w:hAnsi="黑体" w:eastAsia="黑体"/>
                <w:sz w:val="24"/>
              </w:rPr>
            </w:pPr>
            <w:r>
              <w:rPr>
                <w:rFonts w:ascii="黑体" w:hAnsi="黑体" w:eastAsia="黑体"/>
                <w:sz w:val="24"/>
              </w:rPr>
              <w:t>91350203776000633F</w:t>
            </w:r>
          </w:p>
        </w:tc>
        <w:tc>
          <w:tcPr>
            <w:tcW w:w="1559" w:type="dxa"/>
            <w:noWrap w:val="0"/>
            <w:vAlign w:val="center"/>
          </w:tcPr>
          <w:p>
            <w:pPr>
              <w:spacing w:line="440" w:lineRule="exact"/>
              <w:rPr>
                <w:rFonts w:hint="eastAsia" w:ascii="黑体" w:hAnsi="黑体" w:eastAsia="黑体"/>
                <w:sz w:val="24"/>
              </w:rPr>
            </w:pPr>
            <w:r>
              <w:rPr>
                <w:rFonts w:ascii="黑体" w:hAnsi="黑体" w:eastAsia="黑体"/>
                <w:sz w:val="24"/>
              </w:rPr>
              <w:t>厦门市思明区香江花园1 号 18F 单元</w:t>
            </w:r>
          </w:p>
        </w:tc>
        <w:tc>
          <w:tcPr>
            <w:tcW w:w="1695" w:type="dxa"/>
            <w:noWrap w:val="0"/>
            <w:vAlign w:val="center"/>
          </w:tcPr>
          <w:p>
            <w:pPr>
              <w:spacing w:line="440" w:lineRule="exact"/>
              <w:jc w:val="center"/>
              <w:rPr>
                <w:rFonts w:hint="eastAsia" w:ascii="黑体" w:hAnsi="黑体" w:eastAsia="黑体"/>
                <w:sz w:val="24"/>
              </w:rPr>
            </w:pPr>
            <w:r>
              <w:rPr>
                <w:rFonts w:ascii="黑体" w:hAnsi="黑体" w:eastAsia="黑体"/>
                <w:sz w:val="24"/>
              </w:rPr>
              <w:t>蒋么林</w:t>
            </w:r>
          </w:p>
        </w:tc>
        <w:tc>
          <w:tcPr>
            <w:tcW w:w="1605" w:type="dxa"/>
            <w:noWrap w:val="0"/>
            <w:vAlign w:val="center"/>
          </w:tcPr>
          <w:p>
            <w:pPr>
              <w:autoSpaceDN w:val="0"/>
              <w:rPr>
                <w:rFonts w:ascii="黑体" w:hAnsi="黑体" w:eastAsia="黑体"/>
                <w:sz w:val="24"/>
              </w:rPr>
            </w:pPr>
            <w:r>
              <w:rPr>
                <w:rFonts w:ascii="黑体" w:hAnsi="黑体" w:eastAsia="黑体"/>
                <w:sz w:val="24"/>
              </w:rPr>
              <w:t>2018 年8 月2</w:t>
            </w:r>
            <w:r>
              <w:rPr>
                <w:rFonts w:hint="eastAsia" w:ascii="黑体" w:hAnsi="黑体" w:eastAsia="黑体"/>
                <w:sz w:val="24"/>
              </w:rPr>
              <w:t>9</w:t>
            </w:r>
            <w:r>
              <w:rPr>
                <w:rFonts w:ascii="黑体" w:hAnsi="黑体" w:eastAsia="黑体"/>
                <w:sz w:val="24"/>
              </w:rPr>
              <w:t>日</w:t>
            </w:r>
            <w:r>
              <w:rPr>
                <w:rFonts w:hint="eastAsia" w:ascii="黑体" w:hAnsi="黑体" w:eastAsia="黑体"/>
                <w:sz w:val="24"/>
              </w:rPr>
              <w:t>至</w:t>
            </w:r>
            <w:r>
              <w:rPr>
                <w:rFonts w:ascii="黑体" w:hAnsi="黑体" w:eastAsia="黑体"/>
                <w:sz w:val="24"/>
              </w:rPr>
              <w:t>9 月 17日，梁德光等24 人到三亚市 劳 动 保 障监 察 支 队 投诉 该 单 位 拖欠 工 资1208023 元。</w:t>
            </w:r>
          </w:p>
          <w:p>
            <w:pPr>
              <w:rPr>
                <w:rFonts w:hint="eastAsia" w:ascii="黑体" w:hAnsi="黑体" w:eastAsia="黑体"/>
                <w:sz w:val="24"/>
              </w:rPr>
            </w:pPr>
          </w:p>
        </w:tc>
        <w:tc>
          <w:tcPr>
            <w:tcW w:w="4380" w:type="dxa"/>
            <w:noWrap w:val="0"/>
            <w:vAlign w:val="center"/>
          </w:tcPr>
          <w:p>
            <w:pPr>
              <w:autoSpaceDN w:val="0"/>
              <w:rPr>
                <w:rFonts w:ascii="黑体" w:hAnsi="黑体" w:eastAsia="黑体"/>
                <w:sz w:val="24"/>
              </w:rPr>
            </w:pPr>
            <w:r>
              <w:rPr>
                <w:rFonts w:ascii="黑体" w:hAnsi="黑体" w:eastAsia="黑体"/>
                <w:sz w:val="24"/>
              </w:rPr>
              <w:t>2018 年 9 月 27 日，三亚市劳动保障监察支队向该单位下达《劳动保障监察限期责令改指令书》（三人社监令字[2018] 188 号），2018 年 10 月 16 日，向该单位下达</w:t>
            </w:r>
          </w:p>
          <w:p>
            <w:pPr>
              <w:autoSpaceDN w:val="0"/>
              <w:rPr>
                <w:rFonts w:ascii="黑体" w:hAnsi="黑体" w:eastAsia="黑体"/>
                <w:sz w:val="24"/>
              </w:rPr>
            </w:pPr>
            <w:r>
              <w:rPr>
                <w:rFonts w:ascii="黑体" w:hAnsi="黑体" w:eastAsia="黑体"/>
                <w:sz w:val="24"/>
              </w:rPr>
              <w:t>《劳动保障行政处罚事先告知书》（三人社监告字[2018] 47 号），2018 年 11 月 6 日，向该单位下达《劳动保障行政处罚决定书》（三人社监罚字[201</w:t>
            </w:r>
            <w:r>
              <w:rPr>
                <w:rFonts w:hint="eastAsia" w:ascii="黑体" w:hAnsi="黑体" w:eastAsia="黑体"/>
                <w:sz w:val="24"/>
              </w:rPr>
              <w:t>8]</w:t>
            </w:r>
            <w:r>
              <w:rPr>
                <w:rFonts w:ascii="黑体" w:hAnsi="黑体" w:eastAsia="黑体"/>
                <w:sz w:val="24"/>
              </w:rPr>
              <w:t>第 12 号），对其拒不报送劳动用工书面材料，拒不履行整改行为罚款 18000 元。</w:t>
            </w:r>
          </w:p>
          <w:p>
            <w:pPr>
              <w:rPr>
                <w:rFonts w:hint="eastAsia" w:ascii="黑体" w:hAnsi="黑体" w:eastAsia="黑体"/>
                <w:sz w:val="24"/>
              </w:rPr>
            </w:pPr>
          </w:p>
        </w:tc>
      </w:tr>
    </w:tbl>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622A2"/>
    <w:rsid w:val="2B762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2018-12-28T09:59:00Z</dcterms:created>
  <dc:creator>沈海东</dc:creator>
  <cp:lastModifiedBy>沈海东</cp:lastModifiedBy>
  <dcterms:modified xsi:type="dcterms:W3CDTF">2018-12-28T10:00:29Z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